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43" w:firstLineChars="200"/>
        <w:jc w:val="center"/>
        <w:rPr>
          <w:rFonts w:ascii="宋体" w:hAnsi="宋体"/>
          <w:b/>
          <w:bCs/>
          <w:sz w:val="32"/>
          <w:szCs w:val="32"/>
        </w:rPr>
      </w:pPr>
      <w:bookmarkStart w:id="162" w:name="_GoBack"/>
      <w:bookmarkEnd w:id="162"/>
      <w:r>
        <w:rPr>
          <w:rFonts w:hint="eastAsia" w:ascii="宋体" w:hAnsi="宋体"/>
          <w:b/>
          <w:bCs/>
          <w:sz w:val="32"/>
          <w:szCs w:val="32"/>
        </w:rPr>
        <w:t>投标人须知</w:t>
      </w:r>
    </w:p>
    <w:p>
      <w:pPr>
        <w:adjustRightInd w:val="0"/>
        <w:snapToGrid w:val="0"/>
        <w:spacing w:line="276" w:lineRule="auto"/>
        <w:jc w:val="center"/>
        <w:outlineLvl w:val="1"/>
        <w:rPr>
          <w:rFonts w:ascii="宋体" w:hAnsi="宋体"/>
          <w:sz w:val="24"/>
        </w:rPr>
      </w:pPr>
      <w:bookmarkStart w:id="0" w:name="_Toc420896487"/>
      <w:bookmarkStart w:id="1" w:name="_Toc236645292"/>
      <w:bookmarkStart w:id="2" w:name="_Toc178764499"/>
      <w:r>
        <w:rPr>
          <w:rFonts w:hint="eastAsia" w:ascii="宋体" w:hAnsi="宋体"/>
          <w:sz w:val="24"/>
        </w:rPr>
        <w:t>投标人须知前附表</w:t>
      </w:r>
      <w:bookmarkEnd w:id="0"/>
      <w:bookmarkEnd w:id="1"/>
      <w:bookmarkEnd w:id="2"/>
    </w:p>
    <w:tbl>
      <w:tblPr>
        <w:tblStyle w:val="14"/>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9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58" w:type="dxa"/>
            <w:vAlign w:val="center"/>
          </w:tcPr>
          <w:p>
            <w:pPr>
              <w:adjustRightInd w:val="0"/>
              <w:snapToGrid w:val="0"/>
              <w:spacing w:line="276" w:lineRule="auto"/>
              <w:jc w:val="center"/>
              <w:rPr>
                <w:rFonts w:ascii="宋体" w:hAnsi="宋体"/>
                <w:b/>
                <w:bCs/>
                <w:sz w:val="24"/>
              </w:rPr>
            </w:pPr>
            <w:r>
              <w:rPr>
                <w:rFonts w:hint="eastAsia" w:ascii="宋体" w:hAnsi="宋体"/>
                <w:b/>
                <w:bCs/>
                <w:sz w:val="24"/>
              </w:rPr>
              <w:t>序号</w:t>
            </w:r>
          </w:p>
        </w:tc>
        <w:tc>
          <w:tcPr>
            <w:tcW w:w="9076" w:type="dxa"/>
            <w:vAlign w:val="center"/>
          </w:tcPr>
          <w:p>
            <w:pPr>
              <w:adjustRightInd w:val="0"/>
              <w:snapToGrid w:val="0"/>
              <w:spacing w:line="276" w:lineRule="auto"/>
              <w:jc w:val="center"/>
              <w:rPr>
                <w:rFonts w:ascii="宋体" w:hAnsi="宋体"/>
                <w:b/>
                <w:bCs/>
                <w:sz w:val="24"/>
              </w:rPr>
            </w:pPr>
            <w:r>
              <w:rPr>
                <w:rFonts w:hint="eastAsia" w:ascii="宋体" w:hAnsi="宋体"/>
                <w:b/>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58" w:type="dxa"/>
            <w:vAlign w:val="center"/>
          </w:tcPr>
          <w:p>
            <w:pPr>
              <w:adjustRightInd w:val="0"/>
              <w:snapToGrid w:val="0"/>
              <w:spacing w:line="276" w:lineRule="auto"/>
              <w:jc w:val="center"/>
              <w:rPr>
                <w:rFonts w:ascii="宋体" w:hAnsi="宋体"/>
                <w:sz w:val="24"/>
              </w:rPr>
            </w:pPr>
            <w:r>
              <w:rPr>
                <w:rFonts w:hint="eastAsia" w:ascii="宋体" w:hAnsi="宋体"/>
                <w:sz w:val="24"/>
              </w:rPr>
              <w:t>1</w:t>
            </w:r>
          </w:p>
        </w:tc>
        <w:tc>
          <w:tcPr>
            <w:tcW w:w="9076" w:type="dxa"/>
            <w:vAlign w:val="center"/>
          </w:tcPr>
          <w:p>
            <w:pPr>
              <w:spacing w:line="276" w:lineRule="auto"/>
              <w:rPr>
                <w:rFonts w:ascii="宋体" w:hAnsi="宋体"/>
                <w:sz w:val="24"/>
              </w:rPr>
            </w:pPr>
            <w:r>
              <w:rPr>
                <w:rFonts w:hint="eastAsia" w:ascii="宋体" w:hAnsi="宋体"/>
                <w:sz w:val="24"/>
              </w:rPr>
              <w:t>项目名称：</w:t>
            </w:r>
            <w:r>
              <w:rPr>
                <w:rFonts w:hint="eastAsia" w:ascii="宋体" w:hAnsi="宋体"/>
                <w:kern w:val="0"/>
                <w:sz w:val="24"/>
                <w:highlight w:val="yellow"/>
              </w:rPr>
              <w:t>江西省</w:t>
            </w:r>
            <w:r>
              <w:rPr>
                <w:rFonts w:hint="eastAsia" w:ascii="宋体" w:hAnsi="宋体"/>
                <w:kern w:val="0"/>
                <w:sz w:val="24"/>
                <w:highlight w:val="yellow"/>
                <w:lang w:eastAsia="zh-CN"/>
              </w:rPr>
              <w:t>上饶市第二人民医院</w:t>
            </w:r>
            <w:r>
              <w:rPr>
                <w:rFonts w:hint="eastAsia" w:ascii="宋体" w:hAnsi="宋体"/>
                <w:kern w:val="0"/>
                <w:sz w:val="24"/>
              </w:rPr>
              <w:t>电梯维保项目</w:t>
            </w:r>
            <w:r>
              <w:rPr>
                <w:rFonts w:hint="eastAsia" w:ascii="宋体" w:hAnsi="宋体"/>
                <w:sz w:val="24"/>
              </w:rPr>
              <w:t>；</w:t>
            </w:r>
          </w:p>
          <w:p>
            <w:pPr>
              <w:spacing w:line="276" w:lineRule="auto"/>
              <w:rPr>
                <w:rFonts w:ascii="宋体" w:hAnsi="宋体"/>
                <w:sz w:val="24"/>
              </w:rPr>
            </w:pPr>
            <w:r>
              <w:rPr>
                <w:rFonts w:hint="eastAsia" w:ascii="宋体" w:hAnsi="宋体"/>
                <w:sz w:val="24"/>
              </w:rPr>
              <w:t>招标人名称：</w:t>
            </w:r>
            <w:r>
              <w:rPr>
                <w:rFonts w:hint="eastAsia" w:ascii="宋体" w:hAnsi="宋体"/>
                <w:kern w:val="0"/>
                <w:sz w:val="24"/>
              </w:rPr>
              <w:t>上饶市第二人民医院</w:t>
            </w:r>
            <w:r>
              <w:rPr>
                <w:rFonts w:hint="eastAsia" w:ascii="宋体" w:hAnsi="宋体"/>
                <w:sz w:val="24"/>
              </w:rPr>
              <w:t>；</w:t>
            </w:r>
          </w:p>
          <w:p>
            <w:pPr>
              <w:spacing w:line="276" w:lineRule="auto"/>
              <w:rPr>
                <w:rFonts w:ascii="宋体" w:hAnsi="宋体"/>
                <w:kern w:val="0"/>
                <w:sz w:val="24"/>
              </w:rPr>
            </w:pPr>
            <w:r>
              <w:rPr>
                <w:rFonts w:hint="eastAsia" w:ascii="宋体" w:hAnsi="宋体"/>
                <w:sz w:val="24"/>
              </w:rPr>
              <w:t>招标范围：</w:t>
            </w:r>
            <w:r>
              <w:rPr>
                <w:rFonts w:hint="eastAsia" w:ascii="宋体" w:hAnsi="宋体"/>
                <w:kern w:val="0"/>
                <w:sz w:val="24"/>
              </w:rPr>
              <w:t>详见清单。</w:t>
            </w:r>
          </w:p>
          <w:p>
            <w:pPr>
              <w:pStyle w:val="2"/>
              <w:ind w:firstLine="0"/>
            </w:pPr>
            <w:r>
              <w:rPr>
                <w:rFonts w:hint="eastAsia" w:ascii="宋体" w:hAnsi="宋体"/>
                <w:kern w:val="0"/>
                <w:sz w:val="24"/>
              </w:rPr>
              <w:t>服务期限：自合同签订起</w:t>
            </w:r>
            <w:r>
              <w:rPr>
                <w:rFonts w:hint="eastAsia" w:ascii="宋体" w:hAnsi="宋体"/>
                <w:kern w:val="0"/>
                <w:sz w:val="24"/>
                <w:lang w:eastAsia="zh-CN"/>
              </w:rPr>
              <w:t>三</w:t>
            </w:r>
            <w:r>
              <w:rPr>
                <w:rFonts w:hint="eastAsia" w:ascii="宋体" w:hAnsi="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58" w:type="dxa"/>
            <w:vAlign w:val="center"/>
          </w:tcPr>
          <w:p>
            <w:pPr>
              <w:adjustRightInd w:val="0"/>
              <w:snapToGrid w:val="0"/>
              <w:spacing w:line="276" w:lineRule="auto"/>
              <w:jc w:val="center"/>
              <w:rPr>
                <w:rFonts w:ascii="宋体" w:hAnsi="宋体"/>
                <w:sz w:val="24"/>
              </w:rPr>
            </w:pPr>
            <w:r>
              <w:rPr>
                <w:rFonts w:hint="eastAsia" w:ascii="宋体" w:hAnsi="宋体"/>
                <w:sz w:val="24"/>
              </w:rPr>
              <w:t>2</w:t>
            </w:r>
          </w:p>
        </w:tc>
        <w:tc>
          <w:tcPr>
            <w:tcW w:w="9076" w:type="dxa"/>
            <w:vAlign w:val="center"/>
          </w:tcPr>
          <w:p>
            <w:pPr>
              <w:spacing w:line="276" w:lineRule="auto"/>
              <w:rPr>
                <w:rFonts w:ascii="宋体" w:hAnsi="宋体"/>
                <w:sz w:val="24"/>
              </w:rPr>
            </w:pPr>
            <w:r>
              <w:rPr>
                <w:rFonts w:hint="eastAsia" w:ascii="宋体" w:hAnsi="宋体"/>
                <w:sz w:val="24"/>
              </w:rPr>
              <w:t>投标人资质要求：详见招标公告。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58" w:type="dxa"/>
            <w:vAlign w:val="center"/>
          </w:tcPr>
          <w:p>
            <w:pPr>
              <w:adjustRightInd w:val="0"/>
              <w:snapToGrid w:val="0"/>
              <w:spacing w:line="276" w:lineRule="auto"/>
              <w:jc w:val="center"/>
              <w:rPr>
                <w:rFonts w:ascii="宋体" w:hAnsi="宋体"/>
                <w:sz w:val="24"/>
              </w:rPr>
            </w:pPr>
            <w:r>
              <w:rPr>
                <w:rFonts w:ascii="宋体" w:hAnsi="宋体"/>
                <w:sz w:val="24"/>
              </w:rPr>
              <w:t>3</w:t>
            </w:r>
          </w:p>
        </w:tc>
        <w:tc>
          <w:tcPr>
            <w:tcW w:w="9076" w:type="dxa"/>
            <w:vAlign w:val="center"/>
          </w:tcPr>
          <w:p>
            <w:pPr>
              <w:spacing w:line="276" w:lineRule="auto"/>
              <w:rPr>
                <w:rFonts w:hint="eastAsia" w:ascii="宋体" w:hAnsi="宋体" w:eastAsia="宋体"/>
                <w:sz w:val="24"/>
                <w:lang w:eastAsia="zh-CN"/>
              </w:rPr>
            </w:pPr>
            <w:r>
              <w:rPr>
                <w:rFonts w:hint="eastAsia" w:ascii="宋体" w:hAnsi="宋体"/>
                <w:sz w:val="24"/>
              </w:rPr>
              <w:t>投标文件递交地址：</w:t>
            </w:r>
            <w:r>
              <w:rPr>
                <w:rFonts w:hint="eastAsia" w:ascii="宋体" w:hAnsi="宋体"/>
                <w:kern w:val="0"/>
                <w:sz w:val="24"/>
                <w:highlight w:val="yellow"/>
                <w:u w:val="single"/>
              </w:rPr>
              <w:t>江西省</w:t>
            </w:r>
            <w:r>
              <w:rPr>
                <w:rFonts w:hint="eastAsia" w:ascii="宋体" w:hAnsi="宋体"/>
                <w:kern w:val="0"/>
                <w:sz w:val="24"/>
                <w:highlight w:val="yellow"/>
                <w:u w:val="single"/>
                <w:lang w:eastAsia="zh-CN"/>
              </w:rPr>
              <w:t>上饶市第二</w:t>
            </w:r>
            <w:r>
              <w:rPr>
                <w:rFonts w:hint="eastAsia" w:ascii="宋体" w:hAnsi="宋体"/>
                <w:kern w:val="0"/>
                <w:sz w:val="24"/>
                <w:highlight w:val="yellow"/>
                <w:u w:val="single"/>
              </w:rPr>
              <w:t>人民医院办公</w:t>
            </w:r>
            <w:r>
              <w:rPr>
                <w:rFonts w:hint="eastAsia" w:ascii="宋体" w:hAnsi="宋体"/>
                <w:kern w:val="0"/>
                <w:sz w:val="24"/>
                <w:highlight w:val="yellow"/>
                <w:u w:val="single"/>
                <w:lang w:eastAsia="zh-CN"/>
              </w:rPr>
              <w:t>室</w:t>
            </w:r>
          </w:p>
          <w:p>
            <w:pPr>
              <w:spacing w:line="276" w:lineRule="auto"/>
              <w:rPr>
                <w:rFonts w:ascii="宋体" w:hAnsi="宋体"/>
                <w:sz w:val="24"/>
              </w:rPr>
            </w:pPr>
            <w:r>
              <w:rPr>
                <w:rFonts w:hint="eastAsia" w:ascii="宋体" w:hAnsi="宋体"/>
                <w:sz w:val="24"/>
              </w:rPr>
              <w:t>递交投标文件截止时间：</w:t>
            </w:r>
            <w:r>
              <w:rPr>
                <w:rFonts w:hint="eastAsia" w:ascii="宋体" w:hAnsi="宋体"/>
                <w:bCs/>
                <w:sz w:val="24"/>
              </w:rPr>
              <w:t>至招标公告日起</w:t>
            </w:r>
            <w:r>
              <w:rPr>
                <w:rFonts w:hint="eastAsia" w:ascii="宋体" w:hAnsi="宋体"/>
                <w:bCs/>
                <w:sz w:val="24"/>
                <w:lang w:eastAsia="zh-CN"/>
              </w:rPr>
              <w:t>五</w:t>
            </w:r>
            <w:r>
              <w:rPr>
                <w:rFonts w:hint="eastAsia" w:ascii="宋体" w:hAnsi="宋体"/>
                <w:bCs/>
                <w:sz w:val="24"/>
              </w:rPr>
              <w:t>个工作日（双休日及及法定节假日除外）</w:t>
            </w:r>
          </w:p>
          <w:p>
            <w:pPr>
              <w:spacing w:line="276" w:lineRule="auto"/>
              <w:rPr>
                <w:rFonts w:ascii="宋体" w:hAnsi="宋体"/>
                <w:kern w:val="0"/>
                <w:sz w:val="24"/>
              </w:rPr>
            </w:pPr>
            <w:r>
              <w:rPr>
                <w:rFonts w:hint="eastAsia" w:ascii="宋体" w:hAnsi="宋体"/>
                <w:sz w:val="24"/>
              </w:rPr>
              <w:t>开标时间：另行通知</w:t>
            </w:r>
          </w:p>
          <w:p>
            <w:pPr>
              <w:spacing w:line="276" w:lineRule="auto"/>
              <w:rPr>
                <w:rFonts w:ascii="宋体" w:hAnsi="宋体"/>
                <w:sz w:val="24"/>
              </w:rPr>
            </w:pPr>
            <w:r>
              <w:rPr>
                <w:rFonts w:hint="eastAsia" w:ascii="宋体" w:hAnsi="宋体"/>
                <w:sz w:val="24"/>
              </w:rPr>
              <w:t>开标到场人员：</w:t>
            </w:r>
            <w:r>
              <w:rPr>
                <w:rFonts w:hint="eastAsia" w:ascii="宋体" w:hAnsi="宋体"/>
                <w:b/>
                <w:sz w:val="24"/>
              </w:rPr>
              <w:t>投标人的法定代表人或代理人（须持法定代表人授权委托书及本人身份证、社保证明材料）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58" w:type="dxa"/>
            <w:vAlign w:val="center"/>
          </w:tcPr>
          <w:p>
            <w:pPr>
              <w:adjustRightInd w:val="0"/>
              <w:snapToGrid w:val="0"/>
              <w:spacing w:line="276" w:lineRule="auto"/>
              <w:jc w:val="center"/>
              <w:rPr>
                <w:rFonts w:ascii="宋体" w:hAnsi="宋体"/>
                <w:sz w:val="24"/>
              </w:rPr>
            </w:pPr>
            <w:r>
              <w:rPr>
                <w:rFonts w:ascii="宋体" w:hAnsi="宋体"/>
                <w:sz w:val="24"/>
              </w:rPr>
              <w:t>4</w:t>
            </w:r>
          </w:p>
        </w:tc>
        <w:tc>
          <w:tcPr>
            <w:tcW w:w="9076" w:type="dxa"/>
            <w:vAlign w:val="center"/>
          </w:tcPr>
          <w:p>
            <w:pPr>
              <w:spacing w:line="276" w:lineRule="auto"/>
              <w:rPr>
                <w:rFonts w:ascii="宋体" w:hAnsi="宋体"/>
                <w:sz w:val="24"/>
              </w:rPr>
            </w:pPr>
            <w:r>
              <w:rPr>
                <w:rFonts w:hint="eastAsia" w:ascii="宋体" w:hAnsi="宋体"/>
                <w:sz w:val="24"/>
              </w:rPr>
              <w:t>投标保证金:</w:t>
            </w:r>
          </w:p>
          <w:p>
            <w:pPr>
              <w:spacing w:line="276" w:lineRule="auto"/>
              <w:rPr>
                <w:rFonts w:ascii="宋体" w:hAnsi="宋体"/>
                <w:b/>
                <w:sz w:val="24"/>
              </w:rPr>
            </w:pPr>
            <w:r>
              <w:rPr>
                <w:rFonts w:hint="eastAsia" w:ascii="宋体" w:hAnsi="宋体"/>
                <w:b/>
                <w:sz w:val="24"/>
              </w:rPr>
              <w:t>本项目无投标保证金。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58" w:type="dxa"/>
            <w:vAlign w:val="center"/>
          </w:tcPr>
          <w:p>
            <w:pPr>
              <w:adjustRightInd w:val="0"/>
              <w:snapToGrid w:val="0"/>
              <w:spacing w:line="276" w:lineRule="auto"/>
              <w:jc w:val="center"/>
              <w:rPr>
                <w:rFonts w:ascii="宋体" w:hAnsi="宋体"/>
                <w:sz w:val="24"/>
              </w:rPr>
            </w:pPr>
            <w:r>
              <w:rPr>
                <w:rFonts w:ascii="宋体" w:hAnsi="宋体"/>
                <w:sz w:val="24"/>
              </w:rPr>
              <w:t>5</w:t>
            </w:r>
          </w:p>
        </w:tc>
        <w:tc>
          <w:tcPr>
            <w:tcW w:w="9076" w:type="dxa"/>
            <w:vAlign w:val="center"/>
          </w:tcPr>
          <w:p>
            <w:pPr>
              <w:spacing w:line="276" w:lineRule="auto"/>
              <w:rPr>
                <w:rFonts w:ascii="宋体" w:hAnsi="宋体"/>
                <w:sz w:val="24"/>
              </w:rPr>
            </w:pPr>
            <w:r>
              <w:rPr>
                <w:rFonts w:hint="eastAsia" w:ascii="宋体" w:hAnsi="宋体"/>
                <w:sz w:val="24"/>
              </w:rPr>
              <w:t>评标办法：详见评标办法</w:t>
            </w:r>
          </w:p>
          <w:p>
            <w:pPr>
              <w:spacing w:line="276" w:lineRule="auto"/>
              <w:rPr>
                <w:rFonts w:ascii="宋体" w:hAnsi="宋体"/>
                <w:sz w:val="24"/>
              </w:rPr>
            </w:pPr>
            <w:r>
              <w:rPr>
                <w:rFonts w:hint="eastAsia" w:ascii="宋体" w:hAnsi="宋体"/>
                <w:sz w:val="24"/>
              </w:rPr>
              <w:t>投标人的综合得分排名及确定中标候选人数量的规则：详见评标办法</w:t>
            </w:r>
          </w:p>
          <w:p>
            <w:pPr>
              <w:spacing w:line="276" w:lineRule="auto"/>
              <w:rPr>
                <w:rFonts w:ascii="宋体" w:hAnsi="宋体"/>
                <w:sz w:val="24"/>
              </w:rPr>
            </w:pPr>
            <w:r>
              <w:rPr>
                <w:rFonts w:hint="eastAsia" w:ascii="宋体" w:hAnsi="宋体"/>
                <w:sz w:val="24"/>
              </w:rPr>
              <w:t>评标过程的其他规定：详见评标办法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8" w:type="dxa"/>
            <w:vAlign w:val="center"/>
          </w:tcPr>
          <w:p>
            <w:pPr>
              <w:adjustRightInd w:val="0"/>
              <w:snapToGrid w:val="0"/>
              <w:spacing w:line="276" w:lineRule="auto"/>
              <w:jc w:val="center"/>
              <w:rPr>
                <w:rFonts w:ascii="宋体" w:hAnsi="宋体"/>
                <w:sz w:val="24"/>
              </w:rPr>
            </w:pPr>
            <w:r>
              <w:rPr>
                <w:rFonts w:hint="eastAsia" w:ascii="宋体" w:hAnsi="宋体"/>
                <w:sz w:val="24"/>
              </w:rPr>
              <w:t>6</w:t>
            </w:r>
          </w:p>
        </w:tc>
        <w:tc>
          <w:tcPr>
            <w:tcW w:w="9076" w:type="dxa"/>
            <w:vAlign w:val="center"/>
          </w:tcPr>
          <w:p>
            <w:pPr>
              <w:spacing w:line="276" w:lineRule="auto"/>
              <w:rPr>
                <w:rFonts w:ascii="宋体" w:hAnsi="宋体"/>
                <w:sz w:val="24"/>
              </w:rPr>
            </w:pPr>
            <w:bookmarkStart w:id="3" w:name="_Toc420896488"/>
            <w:r>
              <w:rPr>
                <w:rFonts w:hint="eastAsia" w:ascii="宋体" w:hAnsi="宋体"/>
                <w:sz w:val="24"/>
              </w:rPr>
              <w:t>投标人须递交按 “投标文件的编写”规定文件。包括正本一份和副本两份。所有投标文件必须用A4幅面纸张打印装订，并封装在投标文件正本中。</w:t>
            </w:r>
            <w:bookmarkEnd w:id="3"/>
          </w:p>
        </w:tc>
      </w:tr>
    </w:tbl>
    <w:p>
      <w:pPr>
        <w:adjustRightInd w:val="0"/>
        <w:snapToGrid w:val="0"/>
        <w:spacing w:line="360" w:lineRule="auto"/>
        <w:outlineLvl w:val="1"/>
        <w:rPr>
          <w:rFonts w:ascii="宋体" w:hAnsi="宋体"/>
          <w:b/>
          <w:bCs/>
          <w:sz w:val="24"/>
        </w:rPr>
      </w:pPr>
      <w:bookmarkStart w:id="4" w:name="_Toc420896489"/>
      <w:bookmarkStart w:id="5" w:name="_Toc178764501"/>
      <w:r>
        <w:rPr>
          <w:rFonts w:hint="eastAsia" w:ascii="宋体" w:hAnsi="宋体"/>
          <w:b/>
          <w:bCs/>
          <w:sz w:val="24"/>
        </w:rPr>
        <w:t>附注：</w:t>
      </w:r>
    </w:p>
    <w:p>
      <w:pPr>
        <w:adjustRightInd w:val="0"/>
        <w:snapToGrid w:val="0"/>
        <w:spacing w:line="360" w:lineRule="auto"/>
        <w:rPr>
          <w:rFonts w:ascii="宋体" w:hAnsi="宋体"/>
          <w:sz w:val="24"/>
        </w:rPr>
      </w:pPr>
      <w:r>
        <w:rPr>
          <w:rFonts w:hint="eastAsia" w:ascii="宋体" w:hAnsi="宋体"/>
          <w:sz w:val="24"/>
        </w:rPr>
        <w:t>（1）本招标文件如出现前后不一致或者矛盾之处，投标人应书面提出，如投标人没有提出疑问，任何猜疑或者判断，给投标人造成的损失招标人概不负责。</w:t>
      </w:r>
      <w:bookmarkEnd w:id="4"/>
    </w:p>
    <w:p>
      <w:pPr>
        <w:adjustRightInd w:val="0"/>
        <w:snapToGrid w:val="0"/>
        <w:spacing w:line="360" w:lineRule="auto"/>
        <w:rPr>
          <w:rFonts w:ascii="宋体" w:hAnsi="宋体"/>
          <w:sz w:val="24"/>
        </w:rPr>
      </w:pPr>
      <w:bookmarkStart w:id="6" w:name="_Toc420896490"/>
      <w:r>
        <w:rPr>
          <w:rFonts w:hint="eastAsia" w:ascii="宋体" w:hAnsi="宋体"/>
          <w:sz w:val="24"/>
        </w:rPr>
        <w:t>（2）各投标人如在投标截止当日前就招标文件所有内容不提出质疑和异议，开标后均不得对招标文件任何内容提出投诉。</w:t>
      </w:r>
      <w:bookmarkEnd w:id="6"/>
    </w:p>
    <w:p>
      <w:pPr>
        <w:adjustRightInd w:val="0"/>
        <w:snapToGrid w:val="0"/>
        <w:spacing w:line="360" w:lineRule="auto"/>
        <w:jc w:val="center"/>
        <w:outlineLvl w:val="1"/>
        <w:rPr>
          <w:rFonts w:ascii="宋体" w:hAnsi="宋体"/>
          <w:b/>
          <w:bCs/>
          <w:sz w:val="28"/>
          <w:szCs w:val="28"/>
        </w:rPr>
      </w:pPr>
      <w:bookmarkStart w:id="7" w:name="_Toc420896491"/>
      <w:bookmarkStart w:id="8" w:name="_Toc236645293"/>
      <w:r>
        <w:rPr>
          <w:rFonts w:hint="eastAsia" w:ascii="宋体" w:hAnsi="宋体"/>
          <w:b/>
          <w:bCs/>
          <w:sz w:val="28"/>
          <w:szCs w:val="28"/>
        </w:rPr>
        <w:t>A.   总 则</w:t>
      </w:r>
      <w:bookmarkEnd w:id="5"/>
      <w:bookmarkEnd w:id="7"/>
      <w:bookmarkEnd w:id="8"/>
    </w:p>
    <w:p>
      <w:pPr>
        <w:numPr>
          <w:ilvl w:val="0"/>
          <w:numId w:val="1"/>
        </w:numPr>
        <w:adjustRightInd w:val="0"/>
        <w:snapToGrid w:val="0"/>
        <w:spacing w:line="360" w:lineRule="auto"/>
        <w:outlineLvl w:val="2"/>
        <w:rPr>
          <w:rFonts w:ascii="宋体" w:hAnsi="宋体"/>
          <w:b/>
          <w:bCs/>
          <w:sz w:val="24"/>
        </w:rPr>
      </w:pPr>
      <w:bookmarkStart w:id="9" w:name="_Toc178764502"/>
      <w:bookmarkStart w:id="10" w:name="_Toc420896492"/>
      <w:bookmarkStart w:id="11" w:name="_Toc236645294"/>
      <w:bookmarkStart w:id="12" w:name="_Toc236643325"/>
      <w:bookmarkStart w:id="13" w:name="_Toc76382117"/>
      <w:r>
        <w:rPr>
          <w:rFonts w:hint="eastAsia" w:ascii="宋体" w:hAnsi="宋体"/>
          <w:b/>
          <w:bCs/>
          <w:sz w:val="24"/>
        </w:rPr>
        <w:t>招标说明</w:t>
      </w:r>
      <w:bookmarkEnd w:id="9"/>
      <w:bookmarkEnd w:id="10"/>
      <w:bookmarkEnd w:id="11"/>
      <w:bookmarkEnd w:id="12"/>
      <w:bookmarkEnd w:id="13"/>
      <w:r>
        <w:rPr>
          <w:rFonts w:hint="eastAsia" w:ascii="宋体" w:hAnsi="宋体"/>
          <w:b/>
          <w:bCs/>
          <w:sz w:val="24"/>
        </w:rPr>
        <w:t xml:space="preserve"> </w:t>
      </w:r>
    </w:p>
    <w:p>
      <w:pPr>
        <w:adjustRightInd w:val="0"/>
        <w:snapToGrid w:val="0"/>
        <w:spacing w:line="360" w:lineRule="auto"/>
        <w:ind w:firstLine="360" w:firstLineChars="150"/>
        <w:outlineLvl w:val="3"/>
        <w:rPr>
          <w:rFonts w:ascii="宋体" w:hAnsi="宋体"/>
          <w:sz w:val="24"/>
        </w:rPr>
      </w:pPr>
      <w:r>
        <w:rPr>
          <w:rFonts w:hint="eastAsia" w:ascii="宋体" w:hAnsi="宋体"/>
          <w:sz w:val="24"/>
        </w:rPr>
        <w:t>项目名称：</w:t>
      </w:r>
      <w:r>
        <w:rPr>
          <w:rFonts w:hint="eastAsia" w:ascii="宋体" w:hAnsi="宋体"/>
          <w:kern w:val="0"/>
          <w:sz w:val="24"/>
          <w:u w:val="single"/>
        </w:rPr>
        <w:t>江西省上饶市第二人民电梯维保项目</w:t>
      </w:r>
      <w:r>
        <w:rPr>
          <w:rFonts w:hint="eastAsia" w:ascii="宋体" w:hAnsi="宋体"/>
          <w:sz w:val="24"/>
        </w:rPr>
        <w:t xml:space="preserve">（以下简称“本项目”） </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招标内容：详见招标公告</w:t>
      </w:r>
    </w:p>
    <w:p>
      <w:pPr>
        <w:numPr>
          <w:ilvl w:val="1"/>
          <w:numId w:val="1"/>
        </w:numPr>
        <w:adjustRightInd w:val="0"/>
        <w:snapToGrid w:val="0"/>
        <w:spacing w:line="360" w:lineRule="auto"/>
        <w:outlineLvl w:val="3"/>
        <w:rPr>
          <w:rFonts w:ascii="宋体" w:hAnsi="宋体"/>
          <w:sz w:val="24"/>
          <w:u w:val="single"/>
        </w:rPr>
      </w:pPr>
      <w:r>
        <w:rPr>
          <w:rFonts w:hint="eastAsia" w:ascii="宋体" w:hAnsi="宋体"/>
          <w:sz w:val="24"/>
        </w:rPr>
        <w:t>招标人：</w:t>
      </w:r>
      <w:r>
        <w:rPr>
          <w:rFonts w:hint="eastAsia" w:ascii="宋体" w:hAnsi="宋体"/>
          <w:kern w:val="0"/>
          <w:sz w:val="24"/>
        </w:rPr>
        <w:t>上饶市第二人民医院</w:t>
      </w:r>
    </w:p>
    <w:p>
      <w:pPr>
        <w:numPr>
          <w:ilvl w:val="1"/>
          <w:numId w:val="1"/>
        </w:numPr>
        <w:adjustRightInd w:val="0"/>
        <w:snapToGrid w:val="0"/>
        <w:spacing w:line="360" w:lineRule="auto"/>
        <w:outlineLvl w:val="3"/>
        <w:rPr>
          <w:rFonts w:ascii="宋体" w:hAnsi="宋体"/>
          <w:sz w:val="24"/>
          <w:u w:val="single"/>
        </w:rPr>
      </w:pPr>
      <w:r>
        <w:rPr>
          <w:rFonts w:hint="eastAsia" w:ascii="宋体" w:hAnsi="宋体"/>
          <w:sz w:val="24"/>
        </w:rPr>
        <w:t>招标目的：</w:t>
      </w:r>
      <w:r>
        <w:rPr>
          <w:rFonts w:hint="eastAsia" w:ascii="宋体" w:hAnsi="宋体"/>
          <w:sz w:val="24"/>
          <w:u w:val="single"/>
        </w:rPr>
        <w:t>拟通过本次招标选择合格供应商。</w:t>
      </w:r>
    </w:p>
    <w:p>
      <w:pPr>
        <w:numPr>
          <w:ilvl w:val="0"/>
          <w:numId w:val="1"/>
        </w:numPr>
        <w:adjustRightInd w:val="0"/>
        <w:snapToGrid w:val="0"/>
        <w:spacing w:line="360" w:lineRule="auto"/>
        <w:outlineLvl w:val="2"/>
        <w:rPr>
          <w:rFonts w:ascii="宋体" w:hAnsi="宋体"/>
          <w:b/>
          <w:bCs/>
          <w:sz w:val="24"/>
        </w:rPr>
      </w:pPr>
      <w:bookmarkStart w:id="14" w:name="_Toc236645295"/>
      <w:bookmarkStart w:id="15" w:name="_Toc76382118"/>
      <w:bookmarkStart w:id="16" w:name="_Toc178764503"/>
      <w:bookmarkStart w:id="17" w:name="_Toc420896493"/>
      <w:bookmarkStart w:id="18" w:name="_Toc236643326"/>
      <w:r>
        <w:rPr>
          <w:rFonts w:hint="eastAsia" w:ascii="宋体" w:hAnsi="宋体"/>
          <w:b/>
          <w:bCs/>
          <w:sz w:val="24"/>
        </w:rPr>
        <w:t>本项目概况</w:t>
      </w:r>
      <w:bookmarkEnd w:id="14"/>
      <w:bookmarkEnd w:id="15"/>
      <w:bookmarkEnd w:id="16"/>
      <w:bookmarkEnd w:id="17"/>
      <w:bookmarkEnd w:id="18"/>
      <w:r>
        <w:rPr>
          <w:rFonts w:hint="eastAsia" w:ascii="宋体" w:hAnsi="宋体"/>
          <w:b/>
          <w:bCs/>
          <w:sz w:val="24"/>
        </w:rPr>
        <w:t xml:space="preserve"> </w:t>
      </w:r>
      <w:bookmarkStart w:id="19" w:name="_Toc178764504"/>
      <w:bookmarkStart w:id="20" w:name="_Toc236643327"/>
      <w:bookmarkStart w:id="21" w:name="_Toc76382119"/>
      <w:bookmarkStart w:id="22" w:name="_Toc236645296"/>
    </w:p>
    <w:p>
      <w:pPr>
        <w:numPr>
          <w:ilvl w:val="1"/>
          <w:numId w:val="1"/>
        </w:numPr>
        <w:adjustRightInd w:val="0"/>
        <w:snapToGrid w:val="0"/>
        <w:spacing w:line="360" w:lineRule="auto"/>
        <w:outlineLvl w:val="3"/>
        <w:rPr>
          <w:rFonts w:ascii="宋体" w:hAnsi="宋体"/>
          <w:kern w:val="0"/>
          <w:sz w:val="24"/>
        </w:rPr>
      </w:pPr>
      <w:r>
        <w:rPr>
          <w:rFonts w:hint="eastAsia" w:ascii="宋体" w:hAnsi="宋体"/>
          <w:sz w:val="24"/>
        </w:rPr>
        <w:t>招标具体范围：详见清单。</w:t>
      </w:r>
    </w:p>
    <w:p>
      <w:pPr>
        <w:numPr>
          <w:ilvl w:val="1"/>
          <w:numId w:val="1"/>
        </w:numPr>
        <w:adjustRightInd w:val="0"/>
        <w:snapToGrid w:val="0"/>
        <w:spacing w:line="360" w:lineRule="auto"/>
        <w:outlineLvl w:val="3"/>
        <w:rPr>
          <w:rFonts w:ascii="宋体" w:hAnsi="宋体" w:cs="宋体"/>
          <w:bCs/>
          <w:sz w:val="24"/>
          <w:highlight w:val="yellow"/>
          <w:lang w:val="zh-CN"/>
        </w:rPr>
      </w:pPr>
      <w:r>
        <w:rPr>
          <w:rFonts w:hint="eastAsia" w:ascii="宋体" w:hAnsi="宋体" w:cs="宋体"/>
          <w:bCs/>
          <w:sz w:val="24"/>
          <w:lang w:val="zh-CN"/>
        </w:rPr>
        <w:t>工程地点：</w:t>
      </w:r>
      <w:r>
        <w:rPr>
          <w:rFonts w:hint="eastAsia" w:ascii="宋体" w:hAnsi="宋体"/>
          <w:kern w:val="0"/>
          <w:sz w:val="24"/>
          <w:highlight w:val="yellow"/>
          <w:u w:val="single"/>
        </w:rPr>
        <w:t>上饶市第二人民医院</w:t>
      </w:r>
      <w:r>
        <w:rPr>
          <w:rFonts w:hint="eastAsia" w:ascii="宋体" w:hAnsi="宋体"/>
          <w:sz w:val="24"/>
          <w:highlight w:val="yellow"/>
          <w:u w:val="single"/>
        </w:rPr>
        <w:t>。</w:t>
      </w:r>
    </w:p>
    <w:bookmarkEnd w:id="19"/>
    <w:bookmarkEnd w:id="20"/>
    <w:bookmarkEnd w:id="21"/>
    <w:bookmarkEnd w:id="22"/>
    <w:p>
      <w:pPr>
        <w:numPr>
          <w:ilvl w:val="0"/>
          <w:numId w:val="1"/>
        </w:numPr>
        <w:adjustRightInd w:val="0"/>
        <w:snapToGrid w:val="0"/>
        <w:spacing w:line="360" w:lineRule="auto"/>
        <w:outlineLvl w:val="2"/>
        <w:rPr>
          <w:rFonts w:ascii="宋体" w:hAnsi="宋体"/>
          <w:b/>
          <w:bCs/>
          <w:sz w:val="24"/>
        </w:rPr>
      </w:pPr>
      <w:r>
        <w:rPr>
          <w:rFonts w:hint="eastAsia" w:ascii="宋体" w:hAnsi="宋体"/>
          <w:b/>
          <w:bCs/>
          <w:sz w:val="24"/>
        </w:rPr>
        <w:t>投标人资质要求：</w:t>
      </w:r>
    </w:p>
    <w:p>
      <w:pPr>
        <w:pStyle w:val="13"/>
        <w:spacing w:line="360" w:lineRule="auto"/>
        <w:ind w:left="540" w:leftChars="200" w:hanging="120" w:hangingChars="50"/>
        <w:rPr>
          <w:rFonts w:cs="Times New Roman"/>
          <w:kern w:val="2"/>
          <w:sz w:val="24"/>
          <w:szCs w:val="24"/>
        </w:rPr>
      </w:pPr>
      <w:r>
        <w:rPr>
          <w:rFonts w:hint="eastAsia" w:cs="Times New Roman"/>
          <w:kern w:val="2"/>
          <w:sz w:val="24"/>
          <w:szCs w:val="24"/>
        </w:rPr>
        <w:t>详见招标公告。</w:t>
      </w:r>
    </w:p>
    <w:p>
      <w:pPr>
        <w:numPr>
          <w:ilvl w:val="0"/>
          <w:numId w:val="1"/>
        </w:numPr>
        <w:adjustRightInd w:val="0"/>
        <w:snapToGrid w:val="0"/>
        <w:spacing w:line="360" w:lineRule="auto"/>
        <w:outlineLvl w:val="2"/>
        <w:rPr>
          <w:rFonts w:ascii="宋体" w:hAnsi="宋体"/>
          <w:b/>
          <w:bCs/>
          <w:sz w:val="24"/>
        </w:rPr>
      </w:pPr>
      <w:bookmarkStart w:id="23" w:name="_Toc236645297"/>
      <w:bookmarkStart w:id="24" w:name="_Toc420896494"/>
      <w:bookmarkStart w:id="25" w:name="_Toc76382120"/>
      <w:bookmarkStart w:id="26" w:name="_Toc178764505"/>
      <w:bookmarkStart w:id="27" w:name="_Toc236643328"/>
      <w:r>
        <w:rPr>
          <w:rFonts w:hint="eastAsia" w:ascii="宋体" w:hAnsi="宋体"/>
          <w:b/>
          <w:bCs/>
          <w:sz w:val="24"/>
        </w:rPr>
        <w:t>投标的费用</w:t>
      </w:r>
      <w:bookmarkEnd w:id="23"/>
      <w:bookmarkEnd w:id="24"/>
      <w:bookmarkEnd w:id="25"/>
      <w:bookmarkEnd w:id="26"/>
      <w:bookmarkEnd w:id="27"/>
      <w:r>
        <w:rPr>
          <w:rFonts w:hint="eastAsia" w:ascii="宋体" w:hAnsi="宋体"/>
          <w:b/>
          <w:bCs/>
          <w:sz w:val="24"/>
        </w:rPr>
        <w:t xml:space="preserve"> </w:t>
      </w:r>
    </w:p>
    <w:p>
      <w:pPr>
        <w:pStyle w:val="13"/>
        <w:spacing w:line="360" w:lineRule="auto"/>
        <w:ind w:left="540" w:leftChars="200" w:hanging="120" w:hangingChars="50"/>
        <w:rPr>
          <w:sz w:val="24"/>
        </w:rPr>
      </w:pPr>
      <w:bookmarkStart w:id="28" w:name="_Toc420896495"/>
      <w:bookmarkStart w:id="29" w:name="_Toc76382121"/>
      <w:bookmarkStart w:id="30" w:name="_Toc178764506"/>
      <w:bookmarkStart w:id="31" w:name="_Toc236643330"/>
      <w:bookmarkStart w:id="32" w:name="_Toc236645299"/>
      <w:r>
        <w:rPr>
          <w:rFonts w:hint="eastAsia" w:cs="Times New Roman"/>
          <w:kern w:val="2"/>
          <w:sz w:val="24"/>
          <w:szCs w:val="24"/>
        </w:rPr>
        <w:t>投标人</w:t>
      </w:r>
      <w:r>
        <w:rPr>
          <w:rFonts w:hint="eastAsia"/>
          <w:sz w:val="24"/>
        </w:rPr>
        <w:t>有关投标活动的全部费用，由投标人自行承担。</w:t>
      </w:r>
      <w:bookmarkEnd w:id="28"/>
    </w:p>
    <w:bookmarkEnd w:id="29"/>
    <w:bookmarkEnd w:id="30"/>
    <w:bookmarkEnd w:id="31"/>
    <w:bookmarkEnd w:id="32"/>
    <w:p>
      <w:pPr>
        <w:adjustRightInd w:val="0"/>
        <w:snapToGrid w:val="0"/>
        <w:spacing w:line="276" w:lineRule="auto"/>
        <w:jc w:val="center"/>
        <w:outlineLvl w:val="1"/>
        <w:rPr>
          <w:rFonts w:ascii="宋体" w:hAnsi="宋体"/>
          <w:b/>
          <w:bCs/>
          <w:sz w:val="24"/>
        </w:rPr>
      </w:pPr>
      <w:bookmarkStart w:id="33" w:name="_Toc420896497"/>
      <w:bookmarkStart w:id="34" w:name="_Toc236645300"/>
      <w:bookmarkStart w:id="35" w:name="_Toc178764507"/>
      <w:r>
        <w:rPr>
          <w:rFonts w:hint="eastAsia" w:ascii="宋体" w:hAnsi="宋体"/>
          <w:b/>
          <w:bCs/>
          <w:sz w:val="24"/>
        </w:rPr>
        <w:t>B.招标文件</w:t>
      </w:r>
      <w:bookmarkEnd w:id="33"/>
      <w:bookmarkEnd w:id="34"/>
      <w:bookmarkEnd w:id="35"/>
    </w:p>
    <w:p>
      <w:pPr>
        <w:numPr>
          <w:ilvl w:val="0"/>
          <w:numId w:val="1"/>
        </w:numPr>
        <w:adjustRightInd w:val="0"/>
        <w:snapToGrid w:val="0"/>
        <w:spacing w:line="276" w:lineRule="auto"/>
        <w:outlineLvl w:val="2"/>
        <w:rPr>
          <w:rFonts w:ascii="宋体" w:hAnsi="宋体"/>
          <w:b/>
          <w:bCs/>
          <w:sz w:val="24"/>
        </w:rPr>
      </w:pPr>
      <w:bookmarkStart w:id="36" w:name="_Toc76382123"/>
      <w:bookmarkStart w:id="37" w:name="_Toc236645301"/>
      <w:bookmarkStart w:id="38" w:name="_Toc420896498"/>
      <w:bookmarkStart w:id="39" w:name="_Toc178764508"/>
      <w:bookmarkStart w:id="40" w:name="_Toc236643332"/>
      <w:r>
        <w:rPr>
          <w:rFonts w:hint="eastAsia" w:ascii="宋体" w:hAnsi="宋体"/>
          <w:b/>
          <w:bCs/>
          <w:sz w:val="24"/>
        </w:rPr>
        <w:t>招标文件的组成</w:t>
      </w:r>
      <w:bookmarkEnd w:id="36"/>
      <w:bookmarkEnd w:id="37"/>
      <w:bookmarkEnd w:id="38"/>
      <w:bookmarkEnd w:id="39"/>
      <w:bookmarkEnd w:id="40"/>
      <w:r>
        <w:rPr>
          <w:rFonts w:hint="eastAsia" w:ascii="宋体" w:hAnsi="宋体"/>
          <w:b/>
          <w:bCs/>
          <w:sz w:val="24"/>
        </w:rPr>
        <w:t xml:space="preserve"> </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招标文件包括下述各部分，以及其他答疑文件或正式有效函件。</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36"/>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vAlign w:val="center"/>
          </w:tcPr>
          <w:p>
            <w:pPr>
              <w:adjustRightInd w:val="0"/>
              <w:snapToGrid w:val="0"/>
              <w:spacing w:line="276" w:lineRule="auto"/>
              <w:jc w:val="center"/>
              <w:rPr>
                <w:rFonts w:ascii="宋体" w:hAnsi="宋体"/>
                <w:sz w:val="24"/>
              </w:rPr>
            </w:pPr>
            <w:r>
              <w:rPr>
                <w:rFonts w:hint="eastAsia" w:ascii="宋体" w:hAnsi="宋体"/>
                <w:sz w:val="24"/>
              </w:rPr>
              <w:t>篇  次</w:t>
            </w:r>
          </w:p>
        </w:tc>
        <w:tc>
          <w:tcPr>
            <w:tcW w:w="2736" w:type="dxa"/>
            <w:vAlign w:val="center"/>
          </w:tcPr>
          <w:p>
            <w:pPr>
              <w:adjustRightInd w:val="0"/>
              <w:snapToGrid w:val="0"/>
              <w:spacing w:line="276" w:lineRule="auto"/>
              <w:jc w:val="center"/>
              <w:rPr>
                <w:rFonts w:ascii="宋体" w:hAnsi="宋体"/>
                <w:sz w:val="24"/>
              </w:rPr>
            </w:pPr>
            <w:r>
              <w:rPr>
                <w:rFonts w:hint="eastAsia" w:ascii="宋体" w:hAnsi="宋体"/>
                <w:sz w:val="24"/>
              </w:rPr>
              <w:t>内  容</w:t>
            </w:r>
          </w:p>
        </w:tc>
        <w:tc>
          <w:tcPr>
            <w:tcW w:w="4680" w:type="dxa"/>
            <w:vAlign w:val="center"/>
          </w:tcPr>
          <w:p>
            <w:pPr>
              <w:adjustRightInd w:val="0"/>
              <w:snapToGrid w:val="0"/>
              <w:spacing w:line="276" w:lineRule="auto"/>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vAlign w:val="center"/>
          </w:tcPr>
          <w:p>
            <w:pPr>
              <w:adjustRightInd w:val="0"/>
              <w:snapToGrid w:val="0"/>
              <w:spacing w:line="276" w:lineRule="auto"/>
              <w:jc w:val="center"/>
              <w:rPr>
                <w:rFonts w:ascii="宋体" w:hAnsi="宋体"/>
                <w:sz w:val="24"/>
              </w:rPr>
            </w:pPr>
            <w:r>
              <w:rPr>
                <w:rFonts w:hint="eastAsia" w:ascii="宋体" w:hAnsi="宋体"/>
                <w:sz w:val="24"/>
              </w:rPr>
              <w:t>第1篇</w:t>
            </w:r>
          </w:p>
        </w:tc>
        <w:tc>
          <w:tcPr>
            <w:tcW w:w="2736" w:type="dxa"/>
            <w:vAlign w:val="center"/>
          </w:tcPr>
          <w:p>
            <w:pPr>
              <w:adjustRightInd w:val="0"/>
              <w:snapToGrid w:val="0"/>
              <w:spacing w:line="276" w:lineRule="auto"/>
              <w:rPr>
                <w:rFonts w:ascii="宋体" w:hAnsi="宋体"/>
                <w:sz w:val="24"/>
              </w:rPr>
            </w:pPr>
            <w:r>
              <w:rPr>
                <w:rFonts w:hint="eastAsia" w:ascii="宋体" w:hAnsi="宋体"/>
                <w:sz w:val="24"/>
              </w:rPr>
              <w:t>《招标公告》</w:t>
            </w:r>
          </w:p>
        </w:tc>
        <w:tc>
          <w:tcPr>
            <w:tcW w:w="4680" w:type="dxa"/>
            <w:vAlign w:val="center"/>
          </w:tcPr>
          <w:p>
            <w:pPr>
              <w:adjustRightInd w:val="0"/>
              <w:snapToGrid w:val="0"/>
              <w:spacing w:line="276" w:lineRule="auto"/>
              <w:rPr>
                <w:rFonts w:ascii="宋体" w:hAnsi="宋体"/>
                <w:sz w:val="24"/>
              </w:rPr>
            </w:pPr>
            <w:r>
              <w:rPr>
                <w:rFonts w:hint="eastAsia" w:ascii="宋体" w:hAnsi="宋体"/>
                <w:sz w:val="24"/>
              </w:rPr>
              <w:t>项目基本情况及资格要求。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vAlign w:val="center"/>
          </w:tcPr>
          <w:p>
            <w:pPr>
              <w:adjustRightInd w:val="0"/>
              <w:snapToGrid w:val="0"/>
              <w:spacing w:line="276" w:lineRule="auto"/>
              <w:jc w:val="center"/>
              <w:rPr>
                <w:rFonts w:ascii="宋体" w:hAnsi="宋体"/>
                <w:sz w:val="24"/>
              </w:rPr>
            </w:pPr>
            <w:r>
              <w:rPr>
                <w:rFonts w:hint="eastAsia" w:ascii="宋体" w:hAnsi="宋体"/>
                <w:sz w:val="24"/>
              </w:rPr>
              <w:t>第2篇</w:t>
            </w:r>
          </w:p>
        </w:tc>
        <w:tc>
          <w:tcPr>
            <w:tcW w:w="2736" w:type="dxa"/>
            <w:vAlign w:val="center"/>
          </w:tcPr>
          <w:p>
            <w:pPr>
              <w:adjustRightInd w:val="0"/>
              <w:snapToGrid w:val="0"/>
              <w:spacing w:line="276" w:lineRule="auto"/>
              <w:rPr>
                <w:rFonts w:ascii="宋体" w:hAnsi="宋体"/>
                <w:sz w:val="24"/>
              </w:rPr>
            </w:pPr>
            <w:r>
              <w:rPr>
                <w:rFonts w:hint="eastAsia" w:ascii="宋体" w:hAnsi="宋体"/>
                <w:sz w:val="24"/>
              </w:rPr>
              <w:t>《投标人须知》</w:t>
            </w:r>
          </w:p>
        </w:tc>
        <w:tc>
          <w:tcPr>
            <w:tcW w:w="4680" w:type="dxa"/>
            <w:vAlign w:val="center"/>
          </w:tcPr>
          <w:p>
            <w:pPr>
              <w:adjustRightInd w:val="0"/>
              <w:snapToGrid w:val="0"/>
              <w:spacing w:line="276" w:lineRule="auto"/>
              <w:rPr>
                <w:rFonts w:ascii="宋体" w:hAnsi="宋体"/>
                <w:sz w:val="24"/>
              </w:rPr>
            </w:pPr>
            <w:r>
              <w:rPr>
                <w:rFonts w:hint="eastAsia" w:ascii="宋体" w:hAnsi="宋体"/>
                <w:sz w:val="24"/>
              </w:rPr>
              <w:t>含投标人须知前附表、</w:t>
            </w:r>
            <w:r>
              <w:rPr>
                <w:rFonts w:hint="eastAsia" w:ascii="宋体" w:hAnsi="宋体"/>
                <w:bCs/>
                <w:sz w:val="24"/>
              </w:rPr>
              <w:t>投标文件要求。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vAlign w:val="center"/>
          </w:tcPr>
          <w:p>
            <w:pPr>
              <w:adjustRightInd w:val="0"/>
              <w:snapToGrid w:val="0"/>
              <w:spacing w:line="276" w:lineRule="auto"/>
              <w:jc w:val="center"/>
              <w:rPr>
                <w:rFonts w:ascii="宋体" w:hAnsi="宋体"/>
                <w:sz w:val="24"/>
              </w:rPr>
            </w:pPr>
            <w:r>
              <w:rPr>
                <w:rFonts w:hint="eastAsia" w:ascii="宋体" w:hAnsi="宋体"/>
                <w:sz w:val="24"/>
              </w:rPr>
              <w:t>第3篇</w:t>
            </w:r>
          </w:p>
        </w:tc>
        <w:tc>
          <w:tcPr>
            <w:tcW w:w="2736" w:type="dxa"/>
            <w:vAlign w:val="center"/>
          </w:tcPr>
          <w:p>
            <w:pPr>
              <w:adjustRightInd w:val="0"/>
              <w:snapToGrid w:val="0"/>
              <w:spacing w:line="276" w:lineRule="auto"/>
              <w:rPr>
                <w:rFonts w:ascii="宋体" w:hAnsi="宋体"/>
                <w:sz w:val="24"/>
              </w:rPr>
            </w:pPr>
            <w:r>
              <w:rPr>
                <w:rFonts w:hint="eastAsia" w:ascii="宋体" w:hAnsi="宋体"/>
                <w:sz w:val="24"/>
              </w:rPr>
              <w:t>《评标办法及评分规则》</w:t>
            </w:r>
          </w:p>
        </w:tc>
        <w:tc>
          <w:tcPr>
            <w:tcW w:w="4680" w:type="dxa"/>
            <w:vAlign w:val="center"/>
          </w:tcPr>
          <w:p>
            <w:pPr>
              <w:adjustRightInd w:val="0"/>
              <w:snapToGrid w:val="0"/>
              <w:spacing w:line="276" w:lineRule="auto"/>
              <w:rPr>
                <w:rFonts w:ascii="宋体" w:hAnsi="宋体"/>
                <w:sz w:val="24"/>
              </w:rPr>
            </w:pPr>
            <w:r>
              <w:rPr>
                <w:rFonts w:hint="eastAsia" w:ascii="宋体" w:hAnsi="宋体"/>
                <w:bCs/>
                <w:sz w:val="24"/>
              </w:rPr>
              <w:t>评标及定标标准及方法说明。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vAlign w:val="center"/>
          </w:tcPr>
          <w:p>
            <w:pPr>
              <w:adjustRightInd w:val="0"/>
              <w:snapToGrid w:val="0"/>
              <w:spacing w:line="276" w:lineRule="auto"/>
              <w:jc w:val="center"/>
              <w:rPr>
                <w:rFonts w:ascii="宋体" w:hAnsi="宋体"/>
                <w:sz w:val="24"/>
              </w:rPr>
            </w:pPr>
            <w:r>
              <w:rPr>
                <w:rFonts w:hint="eastAsia" w:ascii="宋体" w:hAnsi="宋体"/>
                <w:sz w:val="24"/>
              </w:rPr>
              <w:t>第4篇</w:t>
            </w:r>
          </w:p>
        </w:tc>
        <w:tc>
          <w:tcPr>
            <w:tcW w:w="2736" w:type="dxa"/>
            <w:vAlign w:val="center"/>
          </w:tcPr>
          <w:p>
            <w:pPr>
              <w:adjustRightInd w:val="0"/>
              <w:snapToGrid w:val="0"/>
              <w:spacing w:line="276" w:lineRule="auto"/>
              <w:rPr>
                <w:rFonts w:ascii="宋体" w:hAnsi="宋体"/>
                <w:sz w:val="24"/>
              </w:rPr>
            </w:pPr>
            <w:r>
              <w:rPr>
                <w:rFonts w:hint="eastAsia" w:ascii="宋体" w:hAnsi="宋体"/>
                <w:sz w:val="24"/>
              </w:rPr>
              <w:t>《投标文件格式》</w:t>
            </w:r>
          </w:p>
        </w:tc>
        <w:tc>
          <w:tcPr>
            <w:tcW w:w="4680" w:type="dxa"/>
            <w:vAlign w:val="center"/>
          </w:tcPr>
          <w:p>
            <w:pPr>
              <w:adjustRightInd w:val="0"/>
              <w:snapToGrid w:val="0"/>
              <w:spacing w:line="276" w:lineRule="auto"/>
              <w:rPr>
                <w:rFonts w:ascii="宋体" w:hAnsi="宋体"/>
                <w:sz w:val="24"/>
              </w:rPr>
            </w:pPr>
            <w:r>
              <w:rPr>
                <w:rFonts w:hint="eastAsia" w:ascii="宋体" w:hAnsi="宋体"/>
                <w:sz w:val="24"/>
              </w:rPr>
              <w:t>附后</w:t>
            </w:r>
          </w:p>
        </w:tc>
      </w:tr>
    </w:tbl>
    <w:p>
      <w:pPr>
        <w:numPr>
          <w:ilvl w:val="1"/>
          <w:numId w:val="1"/>
        </w:numPr>
        <w:adjustRightInd w:val="0"/>
        <w:snapToGrid w:val="0"/>
        <w:spacing w:line="360" w:lineRule="auto"/>
        <w:outlineLvl w:val="3"/>
        <w:rPr>
          <w:rFonts w:ascii="宋体" w:hAnsi="宋体"/>
          <w:sz w:val="24"/>
        </w:rPr>
      </w:pPr>
      <w:r>
        <w:rPr>
          <w:rFonts w:hint="eastAsia" w:ascii="宋体" w:hAnsi="宋体"/>
          <w:sz w:val="24"/>
        </w:rPr>
        <w:t>投标人应仔细查阅招标文件。如果投标文件与招标文件的要求不符合，则投标人应自行承担风险。</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投标人应检查招标文件的页数（流水编号）是否齐全，所有提到的附件是否包括在内。</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本招标文件所使用的时间均为北京时间。</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招标人提供的招标文件的合法语言为中文汉语。</w:t>
      </w:r>
    </w:p>
    <w:p>
      <w:pPr>
        <w:numPr>
          <w:ilvl w:val="0"/>
          <w:numId w:val="1"/>
        </w:numPr>
        <w:adjustRightInd w:val="0"/>
        <w:snapToGrid w:val="0"/>
        <w:spacing w:line="360" w:lineRule="auto"/>
        <w:outlineLvl w:val="2"/>
        <w:rPr>
          <w:rFonts w:ascii="宋体" w:hAnsi="宋体"/>
          <w:b/>
          <w:bCs/>
          <w:sz w:val="24"/>
        </w:rPr>
      </w:pPr>
      <w:bookmarkStart w:id="41" w:name="_Toc236645302"/>
      <w:bookmarkStart w:id="42" w:name="_Toc420896499"/>
      <w:bookmarkStart w:id="43" w:name="_Toc178764509"/>
      <w:bookmarkStart w:id="44" w:name="_Toc76382124"/>
      <w:bookmarkStart w:id="45" w:name="_Toc236643333"/>
      <w:r>
        <w:rPr>
          <w:rFonts w:hint="eastAsia" w:ascii="宋体" w:hAnsi="宋体"/>
          <w:b/>
          <w:bCs/>
          <w:sz w:val="24"/>
        </w:rPr>
        <w:t>招标文件的澄清</w:t>
      </w:r>
      <w:bookmarkEnd w:id="41"/>
      <w:bookmarkEnd w:id="42"/>
      <w:bookmarkEnd w:id="43"/>
      <w:bookmarkEnd w:id="44"/>
      <w:bookmarkEnd w:id="45"/>
      <w:r>
        <w:rPr>
          <w:rFonts w:hint="eastAsia" w:ascii="宋体" w:hAnsi="宋体"/>
          <w:b/>
          <w:bCs/>
          <w:sz w:val="24"/>
        </w:rPr>
        <w:t xml:space="preserve"> </w:t>
      </w:r>
    </w:p>
    <w:p>
      <w:pPr>
        <w:adjustRightInd w:val="0"/>
        <w:snapToGrid w:val="0"/>
        <w:spacing w:line="360" w:lineRule="auto"/>
        <w:ind w:firstLine="480" w:firstLineChars="200"/>
        <w:rPr>
          <w:rFonts w:ascii="宋体" w:hAnsi="宋体"/>
          <w:sz w:val="24"/>
        </w:rPr>
      </w:pPr>
      <w:r>
        <w:rPr>
          <w:rFonts w:hint="eastAsia" w:ascii="宋体" w:hAnsi="宋体"/>
          <w:sz w:val="24"/>
        </w:rPr>
        <w:t>详见投标人须知前附表</w:t>
      </w:r>
      <w:r>
        <w:rPr>
          <w:rFonts w:hint="eastAsia" w:ascii="宋体" w:hAnsi="宋体" w:cs="宋体"/>
          <w:sz w:val="24"/>
        </w:rPr>
        <w:t>。</w:t>
      </w:r>
    </w:p>
    <w:p>
      <w:pPr>
        <w:numPr>
          <w:ilvl w:val="0"/>
          <w:numId w:val="1"/>
        </w:numPr>
        <w:adjustRightInd w:val="0"/>
        <w:snapToGrid w:val="0"/>
        <w:spacing w:line="360" w:lineRule="auto"/>
        <w:outlineLvl w:val="2"/>
        <w:rPr>
          <w:rFonts w:ascii="宋体" w:hAnsi="宋体"/>
          <w:b/>
          <w:bCs/>
          <w:sz w:val="24"/>
        </w:rPr>
      </w:pPr>
      <w:bookmarkStart w:id="46" w:name="_Toc178764510"/>
      <w:bookmarkStart w:id="47" w:name="_Toc236645303"/>
      <w:bookmarkStart w:id="48" w:name="_Toc76382125"/>
      <w:bookmarkStart w:id="49" w:name="_Toc236643334"/>
      <w:r>
        <w:rPr>
          <w:rFonts w:hint="eastAsia" w:ascii="宋体" w:hAnsi="宋体"/>
          <w:b/>
          <w:bCs/>
          <w:sz w:val="24"/>
        </w:rPr>
        <w:t>招标文件的修改</w:t>
      </w:r>
      <w:bookmarkEnd w:id="46"/>
      <w:bookmarkEnd w:id="47"/>
      <w:bookmarkEnd w:id="48"/>
      <w:bookmarkEnd w:id="49"/>
    </w:p>
    <w:p>
      <w:pPr>
        <w:numPr>
          <w:ilvl w:val="1"/>
          <w:numId w:val="1"/>
        </w:numPr>
        <w:adjustRightInd w:val="0"/>
        <w:snapToGrid w:val="0"/>
        <w:spacing w:line="360" w:lineRule="auto"/>
        <w:outlineLvl w:val="3"/>
        <w:rPr>
          <w:rFonts w:ascii="宋体" w:hAnsi="宋体"/>
          <w:sz w:val="24"/>
        </w:rPr>
      </w:pPr>
      <w:r>
        <w:rPr>
          <w:rFonts w:hint="eastAsia" w:ascii="宋体" w:hAnsi="宋体"/>
          <w:sz w:val="24"/>
        </w:rPr>
        <w:t>修改文件将在投标截止日以前，招标人可主动或依投标人要求澄清的问题而修改招标文件，并以书面形式通知所有投标人，投标人在收到该通知后应立即以邮件、短信、微信或其他书面方式予以确认。该修改内容为招标文件的组成部分，对投标人具有约束力。但本须知第</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REF _Ref88160649 \n \h</w:instrText>
      </w:r>
      <w:r>
        <w:rPr>
          <w:rFonts w:ascii="宋体" w:hAnsi="宋体"/>
          <w:sz w:val="24"/>
        </w:rPr>
        <w:instrText xml:space="preserve">  \* MERGEFORMAT </w:instrText>
      </w:r>
      <w:r>
        <w:rPr>
          <w:rFonts w:ascii="宋体" w:hAnsi="宋体"/>
          <w:sz w:val="24"/>
        </w:rPr>
        <w:fldChar w:fldCharType="separate"/>
      </w:r>
      <w:r>
        <w:rPr>
          <w:rFonts w:ascii="宋体" w:hAnsi="宋体"/>
          <w:sz w:val="24"/>
        </w:rPr>
        <w:t>7.2</w:t>
      </w:r>
      <w:r>
        <w:rPr>
          <w:rFonts w:ascii="宋体" w:hAnsi="宋体"/>
          <w:sz w:val="24"/>
        </w:rPr>
        <w:fldChar w:fldCharType="end"/>
      </w:r>
      <w:r>
        <w:rPr>
          <w:rFonts w:hint="eastAsia" w:ascii="宋体" w:hAnsi="宋体"/>
          <w:sz w:val="24"/>
        </w:rPr>
        <w:t>条规定的推迟投标截止时间和开标时间情形不受本条约束。</w:t>
      </w:r>
    </w:p>
    <w:p>
      <w:pPr>
        <w:numPr>
          <w:ilvl w:val="1"/>
          <w:numId w:val="1"/>
        </w:numPr>
        <w:adjustRightInd w:val="0"/>
        <w:snapToGrid w:val="0"/>
        <w:spacing w:line="360" w:lineRule="auto"/>
        <w:outlineLvl w:val="3"/>
        <w:rPr>
          <w:rFonts w:ascii="宋体" w:hAnsi="宋体"/>
          <w:sz w:val="24"/>
        </w:rPr>
      </w:pPr>
      <w:bookmarkStart w:id="50" w:name="_Ref88160649"/>
      <w:r>
        <w:rPr>
          <w:rFonts w:hint="eastAsia" w:ascii="宋体" w:hAnsi="宋体"/>
          <w:sz w:val="24"/>
        </w:rPr>
        <w:t>为使投标人有合理的时间将答疑文件的内容在编写投标文件时予以考虑，招标人可酌情延长递交投标文件的截止时间，若此情形发生招标人将以邮件、短信、微信或其他书面方式通知各投标人。</w:t>
      </w:r>
      <w:bookmarkEnd w:id="50"/>
    </w:p>
    <w:p>
      <w:pPr>
        <w:adjustRightInd w:val="0"/>
        <w:snapToGrid w:val="0"/>
        <w:spacing w:line="360" w:lineRule="auto"/>
        <w:jc w:val="center"/>
        <w:outlineLvl w:val="1"/>
        <w:rPr>
          <w:rFonts w:ascii="宋体" w:hAnsi="宋体"/>
          <w:b/>
          <w:bCs/>
          <w:sz w:val="24"/>
        </w:rPr>
      </w:pPr>
      <w:bookmarkStart w:id="51" w:name="_Toc178764511"/>
      <w:bookmarkStart w:id="52" w:name="_Toc420896500"/>
      <w:bookmarkStart w:id="53" w:name="_Toc236645304"/>
      <w:r>
        <w:rPr>
          <w:rFonts w:hint="eastAsia" w:ascii="宋体" w:hAnsi="宋体"/>
          <w:b/>
          <w:bCs/>
          <w:sz w:val="24"/>
        </w:rPr>
        <w:t>C.投标文件的编制</w:t>
      </w:r>
      <w:bookmarkEnd w:id="51"/>
      <w:bookmarkEnd w:id="52"/>
      <w:bookmarkEnd w:id="53"/>
    </w:p>
    <w:p>
      <w:pPr>
        <w:numPr>
          <w:ilvl w:val="0"/>
          <w:numId w:val="1"/>
        </w:numPr>
        <w:adjustRightInd w:val="0"/>
        <w:snapToGrid w:val="0"/>
        <w:spacing w:line="360" w:lineRule="auto"/>
        <w:outlineLvl w:val="2"/>
        <w:rPr>
          <w:rFonts w:ascii="宋体" w:hAnsi="宋体"/>
          <w:b/>
          <w:bCs/>
          <w:sz w:val="24"/>
        </w:rPr>
      </w:pPr>
      <w:bookmarkStart w:id="54" w:name="_Toc236645305"/>
      <w:bookmarkStart w:id="55" w:name="_Toc178764512"/>
      <w:bookmarkStart w:id="56" w:name="_Toc76382127"/>
      <w:bookmarkStart w:id="57" w:name="_Toc420896501"/>
      <w:bookmarkStart w:id="58" w:name="_Toc236643336"/>
      <w:r>
        <w:rPr>
          <w:rFonts w:hint="eastAsia" w:ascii="宋体" w:hAnsi="宋体"/>
          <w:b/>
          <w:bCs/>
          <w:sz w:val="24"/>
        </w:rPr>
        <w:t>投标文件的语言</w:t>
      </w:r>
      <w:bookmarkEnd w:id="54"/>
      <w:bookmarkEnd w:id="55"/>
      <w:bookmarkEnd w:id="56"/>
      <w:bookmarkEnd w:id="57"/>
      <w:bookmarkEnd w:id="58"/>
    </w:p>
    <w:p>
      <w:pPr>
        <w:adjustRightInd w:val="0"/>
        <w:snapToGrid w:val="0"/>
        <w:spacing w:line="360" w:lineRule="auto"/>
        <w:ind w:firstLine="480" w:firstLineChars="200"/>
        <w:rPr>
          <w:rFonts w:ascii="宋体" w:hAnsi="宋体"/>
          <w:sz w:val="24"/>
        </w:rPr>
      </w:pPr>
      <w:r>
        <w:rPr>
          <w:rFonts w:hint="eastAsia" w:ascii="宋体" w:hAnsi="宋体"/>
          <w:sz w:val="24"/>
        </w:rPr>
        <w:t>投标文件以及投标人与招标人就本次招标的来往信函以中文书写，如果投标人使用了其它语言，必须同时向招标人提供中文译本，并以中文译本为准，但使用其本国文字的原始证明材料除外。</w:t>
      </w:r>
    </w:p>
    <w:p>
      <w:pPr>
        <w:numPr>
          <w:ilvl w:val="0"/>
          <w:numId w:val="1"/>
        </w:numPr>
        <w:adjustRightInd w:val="0"/>
        <w:snapToGrid w:val="0"/>
        <w:spacing w:line="360" w:lineRule="auto"/>
        <w:outlineLvl w:val="2"/>
        <w:rPr>
          <w:rFonts w:ascii="宋体" w:hAnsi="宋体"/>
          <w:b/>
          <w:bCs/>
          <w:sz w:val="24"/>
        </w:rPr>
      </w:pPr>
      <w:bookmarkStart w:id="59" w:name="_Toc420896502"/>
      <w:bookmarkStart w:id="60" w:name="_Toc178764513"/>
      <w:bookmarkStart w:id="61" w:name="_Toc76382128"/>
      <w:bookmarkStart w:id="62" w:name="_Toc236645306"/>
      <w:bookmarkStart w:id="63" w:name="_Toc236643337"/>
      <w:r>
        <w:rPr>
          <w:rFonts w:hint="eastAsia" w:ascii="宋体" w:hAnsi="宋体"/>
          <w:b/>
          <w:bCs/>
          <w:sz w:val="24"/>
        </w:rPr>
        <w:t>投标文件的构成</w:t>
      </w:r>
      <w:bookmarkEnd w:id="59"/>
      <w:bookmarkEnd w:id="60"/>
      <w:bookmarkEnd w:id="61"/>
      <w:bookmarkEnd w:id="62"/>
      <w:bookmarkEnd w:id="63"/>
    </w:p>
    <w:p>
      <w:pPr>
        <w:numPr>
          <w:ilvl w:val="1"/>
          <w:numId w:val="1"/>
        </w:numPr>
        <w:adjustRightInd w:val="0"/>
        <w:snapToGrid w:val="0"/>
        <w:spacing w:line="360" w:lineRule="auto"/>
        <w:outlineLvl w:val="3"/>
        <w:rPr>
          <w:rFonts w:ascii="宋体" w:hAnsi="宋体"/>
          <w:sz w:val="24"/>
        </w:rPr>
      </w:pPr>
      <w:bookmarkStart w:id="64" w:name="_Ref88160961"/>
      <w:r>
        <w:rPr>
          <w:rFonts w:hint="eastAsia" w:ascii="宋体" w:hAnsi="宋体"/>
          <w:sz w:val="24"/>
        </w:rPr>
        <w:t>投标人编制的投标文件应包括法人授权委托书及委托人身份证、企业资质、企业人员安排等（具体格式详见第三篇）。</w:t>
      </w:r>
      <w:bookmarkEnd w:id="64"/>
    </w:p>
    <w:p>
      <w:pPr>
        <w:numPr>
          <w:ilvl w:val="1"/>
          <w:numId w:val="1"/>
        </w:numPr>
        <w:adjustRightInd w:val="0"/>
        <w:snapToGrid w:val="0"/>
        <w:spacing w:line="360" w:lineRule="auto"/>
        <w:outlineLvl w:val="3"/>
        <w:rPr>
          <w:rFonts w:ascii="宋体" w:hAnsi="宋体"/>
          <w:sz w:val="24"/>
        </w:rPr>
      </w:pPr>
      <w:r>
        <w:rPr>
          <w:rFonts w:hint="eastAsia" w:ascii="宋体" w:hAnsi="宋体"/>
          <w:sz w:val="24"/>
        </w:rPr>
        <w:t>投标人可就本项目服务承诺做出具体说明。</w:t>
      </w:r>
    </w:p>
    <w:p>
      <w:pPr>
        <w:numPr>
          <w:ilvl w:val="0"/>
          <w:numId w:val="1"/>
        </w:numPr>
        <w:adjustRightInd w:val="0"/>
        <w:snapToGrid w:val="0"/>
        <w:spacing w:line="360" w:lineRule="auto"/>
        <w:outlineLvl w:val="2"/>
        <w:rPr>
          <w:rFonts w:ascii="宋体" w:hAnsi="宋体"/>
          <w:b/>
          <w:bCs/>
          <w:sz w:val="24"/>
        </w:rPr>
      </w:pPr>
      <w:bookmarkStart w:id="65" w:name="_Toc236645311"/>
      <w:bookmarkStart w:id="66" w:name="_Toc76382130"/>
      <w:bookmarkStart w:id="67" w:name="_Toc236643342"/>
      <w:bookmarkStart w:id="68" w:name="_Toc178764515"/>
      <w:bookmarkStart w:id="69" w:name="_Toc420896503"/>
      <w:r>
        <w:rPr>
          <w:rFonts w:hint="eastAsia" w:ascii="宋体" w:hAnsi="宋体"/>
          <w:b/>
          <w:bCs/>
          <w:sz w:val="24"/>
        </w:rPr>
        <w:t>货币种类</w:t>
      </w:r>
      <w:bookmarkEnd w:id="65"/>
      <w:bookmarkEnd w:id="66"/>
      <w:bookmarkEnd w:id="67"/>
      <w:bookmarkEnd w:id="68"/>
      <w:bookmarkEnd w:id="69"/>
    </w:p>
    <w:p>
      <w:pPr>
        <w:adjustRightInd w:val="0"/>
        <w:snapToGrid w:val="0"/>
        <w:spacing w:line="360" w:lineRule="auto"/>
        <w:ind w:firstLine="480" w:firstLineChars="200"/>
        <w:rPr>
          <w:rFonts w:ascii="宋体" w:hAnsi="宋体"/>
          <w:sz w:val="24"/>
        </w:rPr>
      </w:pPr>
      <w:r>
        <w:rPr>
          <w:rFonts w:hint="eastAsia" w:ascii="宋体" w:hAnsi="宋体"/>
          <w:sz w:val="24"/>
        </w:rPr>
        <w:t>本次招标对投标人的财务收支均采用人民币计价。</w:t>
      </w:r>
    </w:p>
    <w:p>
      <w:pPr>
        <w:numPr>
          <w:ilvl w:val="0"/>
          <w:numId w:val="1"/>
        </w:numPr>
        <w:adjustRightInd w:val="0"/>
        <w:snapToGrid w:val="0"/>
        <w:spacing w:line="360" w:lineRule="auto"/>
        <w:outlineLvl w:val="2"/>
        <w:rPr>
          <w:rFonts w:ascii="宋体" w:hAnsi="宋体"/>
          <w:b/>
          <w:bCs/>
          <w:sz w:val="24"/>
        </w:rPr>
      </w:pPr>
      <w:bookmarkStart w:id="70" w:name="_Toc236643345"/>
      <w:bookmarkStart w:id="71" w:name="_Toc236645314"/>
      <w:bookmarkStart w:id="72" w:name="_Toc420896506"/>
      <w:bookmarkStart w:id="73" w:name="_Toc178764518"/>
      <w:bookmarkStart w:id="74" w:name="_Toc76382133"/>
      <w:r>
        <w:rPr>
          <w:rFonts w:hint="eastAsia" w:ascii="宋体" w:hAnsi="宋体"/>
          <w:b/>
          <w:bCs/>
          <w:sz w:val="24"/>
        </w:rPr>
        <w:t>投标文件的格式和签署</w:t>
      </w:r>
      <w:bookmarkEnd w:id="70"/>
      <w:bookmarkEnd w:id="71"/>
      <w:bookmarkEnd w:id="72"/>
      <w:bookmarkEnd w:id="73"/>
      <w:bookmarkEnd w:id="74"/>
    </w:p>
    <w:p>
      <w:pPr>
        <w:numPr>
          <w:ilvl w:val="1"/>
          <w:numId w:val="1"/>
        </w:numPr>
        <w:adjustRightInd w:val="0"/>
        <w:snapToGrid w:val="0"/>
        <w:spacing w:line="360" w:lineRule="auto"/>
        <w:outlineLvl w:val="3"/>
        <w:rPr>
          <w:rFonts w:ascii="宋体" w:hAnsi="宋体"/>
          <w:sz w:val="24"/>
        </w:rPr>
      </w:pPr>
      <w:r>
        <w:rPr>
          <w:rFonts w:hint="eastAsia" w:ascii="宋体" w:hAnsi="宋体"/>
          <w:sz w:val="24"/>
        </w:rPr>
        <w:t>投标人应按本须知第</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REF _Ref88160961 \n \h</w:instrText>
      </w:r>
      <w:r>
        <w:rPr>
          <w:rFonts w:ascii="宋体" w:hAnsi="宋体"/>
          <w:sz w:val="24"/>
        </w:rPr>
        <w:instrText xml:space="preserve">  \* MERGEFORMAT </w:instrText>
      </w:r>
      <w:r>
        <w:rPr>
          <w:rFonts w:ascii="宋体" w:hAnsi="宋体"/>
          <w:sz w:val="24"/>
        </w:rPr>
        <w:fldChar w:fldCharType="separate"/>
      </w:r>
      <w:r>
        <w:rPr>
          <w:rFonts w:ascii="宋体" w:hAnsi="宋体"/>
          <w:sz w:val="24"/>
        </w:rPr>
        <w:t>9.1</w:t>
      </w:r>
      <w:r>
        <w:rPr>
          <w:rFonts w:ascii="宋体" w:hAnsi="宋体"/>
          <w:sz w:val="24"/>
        </w:rPr>
        <w:fldChar w:fldCharType="end"/>
      </w:r>
      <w:r>
        <w:rPr>
          <w:rFonts w:hint="eastAsia" w:ascii="宋体" w:hAnsi="宋体"/>
          <w:sz w:val="24"/>
        </w:rPr>
        <w:t>款的规定，准备投标文件。</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投标文件的正本和副本的所有文字、图形和图像均须用耐久油墨打印、书写或描绘。投标文件应按格式要求，由投标人加盖公章，并由投标人法人代表或为本次投标授权的代理人亲笔签署或签章。</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整个投标文件应无改动，应无行间插字或删除，除非这些删改是招标人指令的，或者是投标人造成的必须改正的错误，在后一种情况下，凡改正处必须由投标人法人代表或为本次投标授权的代理人（以下可简称“投标文件签字人”)签字并附日期。</w:t>
      </w:r>
    </w:p>
    <w:p>
      <w:pPr>
        <w:adjustRightInd w:val="0"/>
        <w:snapToGrid w:val="0"/>
        <w:spacing w:line="276" w:lineRule="auto"/>
        <w:jc w:val="center"/>
        <w:outlineLvl w:val="1"/>
        <w:rPr>
          <w:rFonts w:ascii="宋体" w:hAnsi="宋体"/>
          <w:b/>
          <w:bCs/>
          <w:sz w:val="24"/>
        </w:rPr>
      </w:pPr>
      <w:bookmarkStart w:id="75" w:name="_Toc178764519"/>
      <w:bookmarkStart w:id="76" w:name="_Toc420896507"/>
      <w:bookmarkStart w:id="77" w:name="_Toc236645315"/>
      <w:r>
        <w:rPr>
          <w:rFonts w:hint="eastAsia" w:ascii="宋体" w:hAnsi="宋体"/>
          <w:b/>
          <w:bCs/>
          <w:sz w:val="24"/>
        </w:rPr>
        <w:t>D.投标文件的递交</w:t>
      </w:r>
      <w:bookmarkEnd w:id="75"/>
      <w:bookmarkEnd w:id="76"/>
      <w:bookmarkEnd w:id="77"/>
      <w:r>
        <w:rPr>
          <w:rFonts w:hint="eastAsia" w:ascii="宋体" w:hAnsi="宋体"/>
          <w:b/>
          <w:bCs/>
          <w:sz w:val="24"/>
        </w:rPr>
        <w:t xml:space="preserve"> </w:t>
      </w:r>
    </w:p>
    <w:p>
      <w:pPr>
        <w:numPr>
          <w:ilvl w:val="0"/>
          <w:numId w:val="1"/>
        </w:numPr>
        <w:adjustRightInd w:val="0"/>
        <w:snapToGrid w:val="0"/>
        <w:spacing w:line="360" w:lineRule="auto"/>
        <w:outlineLvl w:val="2"/>
        <w:rPr>
          <w:rFonts w:ascii="宋体" w:hAnsi="宋体"/>
          <w:b/>
          <w:bCs/>
          <w:sz w:val="24"/>
        </w:rPr>
      </w:pPr>
      <w:bookmarkStart w:id="78" w:name="_Toc236645316"/>
      <w:bookmarkStart w:id="79" w:name="_Toc76382135"/>
      <w:bookmarkStart w:id="80" w:name="_Toc178764520"/>
      <w:bookmarkStart w:id="81" w:name="_Toc236643347"/>
      <w:bookmarkStart w:id="82" w:name="_Toc420896508"/>
      <w:r>
        <w:rPr>
          <w:rFonts w:hint="eastAsia" w:ascii="宋体" w:hAnsi="宋体"/>
          <w:b/>
          <w:bCs/>
          <w:sz w:val="24"/>
        </w:rPr>
        <w:t>投标文件的密封和标记</w:t>
      </w:r>
      <w:bookmarkEnd w:id="78"/>
      <w:bookmarkEnd w:id="79"/>
      <w:bookmarkEnd w:id="80"/>
      <w:bookmarkEnd w:id="81"/>
      <w:bookmarkEnd w:id="82"/>
    </w:p>
    <w:p>
      <w:pPr>
        <w:numPr>
          <w:ilvl w:val="1"/>
          <w:numId w:val="1"/>
        </w:numPr>
        <w:adjustRightInd w:val="0"/>
        <w:snapToGrid w:val="0"/>
        <w:spacing w:line="360" w:lineRule="auto"/>
        <w:outlineLvl w:val="3"/>
        <w:rPr>
          <w:rFonts w:ascii="宋体" w:hAnsi="宋体"/>
          <w:sz w:val="24"/>
        </w:rPr>
      </w:pPr>
      <w:r>
        <w:rPr>
          <w:rFonts w:hint="eastAsia" w:ascii="宋体" w:hAnsi="宋体"/>
          <w:sz w:val="24"/>
        </w:rPr>
        <w:t>投标人须将投标文件密封在封袋中，并加盖投标人公章及法人章，未按照要求密封的投标文件将不予签收。</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投标文件和外层封套上都应：</w:t>
      </w:r>
    </w:p>
    <w:p>
      <w:pPr>
        <w:adjustRightInd w:val="0"/>
        <w:snapToGrid w:val="0"/>
        <w:spacing w:line="360" w:lineRule="auto"/>
        <w:ind w:firstLine="240" w:firstLineChars="100"/>
        <w:rPr>
          <w:rFonts w:ascii="宋体" w:hAnsi="宋体"/>
          <w:sz w:val="24"/>
        </w:rPr>
      </w:pPr>
      <w:r>
        <w:rPr>
          <w:rFonts w:hint="eastAsia" w:ascii="宋体" w:hAnsi="宋体"/>
          <w:sz w:val="24"/>
        </w:rPr>
        <w:t>（1）写明下列名称：</w:t>
      </w:r>
    </w:p>
    <w:p>
      <w:pPr>
        <w:adjustRightInd w:val="0"/>
        <w:snapToGrid w:val="0"/>
        <w:spacing w:line="360" w:lineRule="auto"/>
        <w:ind w:firstLine="840" w:firstLineChars="350"/>
        <w:rPr>
          <w:rFonts w:ascii="宋体" w:hAnsi="宋体"/>
          <w:sz w:val="24"/>
        </w:rPr>
      </w:pPr>
      <w:r>
        <w:rPr>
          <w:rFonts w:hint="eastAsia" w:ascii="宋体" w:hAnsi="宋体"/>
          <w:sz w:val="24"/>
        </w:rPr>
        <w:t xml:space="preserve">招标人名称： </w:t>
      </w:r>
    </w:p>
    <w:p>
      <w:pPr>
        <w:adjustRightInd w:val="0"/>
        <w:snapToGrid w:val="0"/>
        <w:spacing w:line="360" w:lineRule="auto"/>
        <w:ind w:firstLine="840" w:firstLineChars="350"/>
        <w:rPr>
          <w:rFonts w:ascii="宋体" w:hAnsi="宋体"/>
          <w:sz w:val="24"/>
        </w:rPr>
      </w:pPr>
      <w:r>
        <w:rPr>
          <w:rFonts w:hint="eastAsia" w:ascii="宋体" w:hAnsi="宋体"/>
          <w:sz w:val="24"/>
        </w:rPr>
        <w:t>项目名称：</w:t>
      </w:r>
    </w:p>
    <w:p>
      <w:pPr>
        <w:adjustRightInd w:val="0"/>
        <w:snapToGrid w:val="0"/>
        <w:spacing w:line="360" w:lineRule="auto"/>
        <w:ind w:firstLine="840" w:firstLineChars="350"/>
        <w:rPr>
          <w:rFonts w:ascii="宋体" w:hAnsi="宋体"/>
          <w:sz w:val="24"/>
        </w:rPr>
      </w:pPr>
      <w:r>
        <w:rPr>
          <w:rFonts w:hint="eastAsia" w:ascii="宋体" w:hAnsi="宋体"/>
          <w:sz w:val="24"/>
        </w:rPr>
        <w:t>投标人名称：</w:t>
      </w:r>
    </w:p>
    <w:p>
      <w:pPr>
        <w:adjustRightInd w:val="0"/>
        <w:snapToGrid w:val="0"/>
        <w:spacing w:line="360" w:lineRule="auto"/>
        <w:ind w:firstLine="840" w:firstLineChars="350"/>
        <w:rPr>
          <w:rFonts w:ascii="宋体" w:hAnsi="宋体"/>
          <w:sz w:val="24"/>
        </w:rPr>
      </w:pPr>
      <w:r>
        <w:rPr>
          <w:rFonts w:hint="eastAsia" w:ascii="宋体" w:hAnsi="宋体"/>
          <w:sz w:val="24"/>
        </w:rPr>
        <w:t>投标人地址：</w:t>
      </w:r>
    </w:p>
    <w:p>
      <w:pPr>
        <w:adjustRightInd w:val="0"/>
        <w:snapToGrid w:val="0"/>
        <w:spacing w:line="360" w:lineRule="auto"/>
        <w:ind w:firstLine="240" w:firstLineChars="100"/>
        <w:rPr>
          <w:rFonts w:ascii="宋体" w:hAnsi="宋体"/>
          <w:sz w:val="24"/>
        </w:rPr>
      </w:pPr>
      <w:r>
        <w:rPr>
          <w:rFonts w:hint="eastAsia" w:ascii="宋体" w:hAnsi="宋体"/>
          <w:sz w:val="24"/>
        </w:rPr>
        <w:t>（2）标有下列识别字样：</w:t>
      </w:r>
    </w:p>
    <w:p>
      <w:pPr>
        <w:adjustRightInd w:val="0"/>
        <w:snapToGrid w:val="0"/>
        <w:spacing w:line="360" w:lineRule="auto"/>
        <w:ind w:firstLine="504" w:firstLineChars="210"/>
        <w:rPr>
          <w:rFonts w:ascii="宋体" w:hAnsi="宋体"/>
          <w:sz w:val="24"/>
        </w:rPr>
      </w:pPr>
      <w:r>
        <w:rPr>
          <w:rFonts w:hint="eastAsia" w:ascii="宋体" w:hAnsi="宋体"/>
          <w:sz w:val="24"/>
        </w:rPr>
        <w:t xml:space="preserve">（a）投标文件。 </w:t>
      </w:r>
    </w:p>
    <w:p>
      <w:pPr>
        <w:adjustRightInd w:val="0"/>
        <w:snapToGrid w:val="0"/>
        <w:spacing w:line="360" w:lineRule="auto"/>
        <w:ind w:firstLine="504" w:firstLineChars="210"/>
        <w:rPr>
          <w:rFonts w:ascii="宋体" w:hAnsi="宋体"/>
          <w:sz w:val="24"/>
        </w:rPr>
      </w:pPr>
      <w:r>
        <w:rPr>
          <w:rFonts w:hint="eastAsia" w:ascii="宋体" w:hAnsi="宋体"/>
          <w:sz w:val="24"/>
        </w:rPr>
        <w:t xml:space="preserve">（b）在提交投标文件截止时间前不得开封。 </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投标文件需提供正本一份、副本两份。如正本、副本内容相冲突，以正本为准。</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 xml:space="preserve">如果投标文件外层封套上没有按上述规定封好并加写标记，招标人不承担将投标文件错放、提前开封、失密的任何责任。 </w:t>
      </w:r>
    </w:p>
    <w:p>
      <w:pPr>
        <w:numPr>
          <w:ilvl w:val="0"/>
          <w:numId w:val="1"/>
        </w:numPr>
        <w:adjustRightInd w:val="0"/>
        <w:snapToGrid w:val="0"/>
        <w:spacing w:line="360" w:lineRule="auto"/>
        <w:outlineLvl w:val="2"/>
        <w:rPr>
          <w:rFonts w:ascii="宋体" w:hAnsi="宋体"/>
          <w:b/>
          <w:bCs/>
          <w:sz w:val="24"/>
        </w:rPr>
      </w:pPr>
      <w:r>
        <w:rPr>
          <w:rFonts w:hint="eastAsia" w:ascii="宋体" w:hAnsi="宋体"/>
          <w:b/>
          <w:bCs/>
          <w:sz w:val="24"/>
        </w:rPr>
        <w:t>递交投标文件的截止日</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投标人应按招标文件前附表规定的地址和截止日将投标文件送达招标人签收。</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招标人可以根据本须知第</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REF _Ref88160649 \n \h</w:instrText>
      </w:r>
      <w:r>
        <w:rPr>
          <w:rFonts w:ascii="宋体" w:hAnsi="宋体"/>
          <w:sz w:val="24"/>
        </w:rPr>
        <w:instrText xml:space="preserve">  \* MERGEFORMAT </w:instrText>
      </w:r>
      <w:r>
        <w:rPr>
          <w:rFonts w:ascii="宋体" w:hAnsi="宋体"/>
          <w:sz w:val="24"/>
        </w:rPr>
        <w:fldChar w:fldCharType="separate"/>
      </w:r>
      <w:r>
        <w:rPr>
          <w:rFonts w:ascii="宋体" w:hAnsi="宋体"/>
          <w:sz w:val="24"/>
        </w:rPr>
        <w:t>7.2</w:t>
      </w:r>
      <w:r>
        <w:rPr>
          <w:rFonts w:ascii="宋体" w:hAnsi="宋体"/>
          <w:sz w:val="24"/>
        </w:rPr>
        <w:fldChar w:fldCharType="end"/>
      </w:r>
      <w:r>
        <w:rPr>
          <w:rFonts w:hint="eastAsia" w:ascii="宋体" w:hAnsi="宋体"/>
          <w:sz w:val="24"/>
        </w:rPr>
        <w:t>款规定：发出答疑文件，自行决定推迟递交投标文件截止日。在此情况下，招标人和投标人的权利和义务须受新的递交投标文件截止日的限制。</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投标文件必须由投标人的法定代表人或其授权代理人直接递交。</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投标人递交的所有投标文件不予退还。</w:t>
      </w:r>
    </w:p>
    <w:p>
      <w:pPr>
        <w:numPr>
          <w:ilvl w:val="0"/>
          <w:numId w:val="1"/>
        </w:numPr>
        <w:adjustRightInd w:val="0"/>
        <w:snapToGrid w:val="0"/>
        <w:spacing w:line="360" w:lineRule="auto"/>
        <w:outlineLvl w:val="2"/>
        <w:rPr>
          <w:rFonts w:ascii="宋体" w:hAnsi="宋体"/>
          <w:b/>
          <w:bCs/>
          <w:sz w:val="24"/>
        </w:rPr>
      </w:pPr>
      <w:bookmarkStart w:id="83" w:name="_Toc178764522"/>
      <w:bookmarkStart w:id="84" w:name="_Toc236645318"/>
      <w:bookmarkStart w:id="85" w:name="_Toc236643349"/>
      <w:bookmarkStart w:id="86" w:name="_Toc76382137"/>
      <w:bookmarkStart w:id="87" w:name="_Toc420896510"/>
      <w:r>
        <w:rPr>
          <w:rFonts w:hint="eastAsia" w:ascii="宋体" w:hAnsi="宋体"/>
          <w:b/>
          <w:bCs/>
          <w:sz w:val="24"/>
        </w:rPr>
        <w:t>迟交的投标文件</w:t>
      </w:r>
      <w:bookmarkEnd w:id="83"/>
      <w:bookmarkEnd w:id="84"/>
      <w:bookmarkEnd w:id="85"/>
      <w:bookmarkEnd w:id="86"/>
      <w:bookmarkEnd w:id="87"/>
    </w:p>
    <w:p>
      <w:pPr>
        <w:adjustRightInd w:val="0"/>
        <w:snapToGrid w:val="0"/>
        <w:spacing w:line="360" w:lineRule="auto"/>
        <w:ind w:firstLine="480" w:firstLineChars="200"/>
        <w:rPr>
          <w:rFonts w:ascii="宋体" w:hAnsi="宋体"/>
          <w:sz w:val="24"/>
        </w:rPr>
      </w:pPr>
      <w:r>
        <w:rPr>
          <w:rFonts w:hint="eastAsia" w:ascii="宋体" w:hAnsi="宋体"/>
          <w:sz w:val="24"/>
        </w:rPr>
        <w:t>招标人按本须知规定的递交投标文件,截止日以后不再接收投标文件的递交。</w:t>
      </w:r>
    </w:p>
    <w:p>
      <w:pPr>
        <w:numPr>
          <w:ilvl w:val="0"/>
          <w:numId w:val="1"/>
        </w:numPr>
        <w:adjustRightInd w:val="0"/>
        <w:snapToGrid w:val="0"/>
        <w:spacing w:line="360" w:lineRule="auto"/>
        <w:outlineLvl w:val="2"/>
        <w:rPr>
          <w:rFonts w:ascii="宋体" w:hAnsi="宋体"/>
          <w:b/>
          <w:bCs/>
          <w:sz w:val="24"/>
        </w:rPr>
      </w:pPr>
      <w:bookmarkStart w:id="88" w:name="_Toc236643350"/>
      <w:bookmarkStart w:id="89" w:name="_Toc76382138"/>
      <w:bookmarkStart w:id="90" w:name="_Toc420896511"/>
      <w:bookmarkStart w:id="91" w:name="_Toc236645319"/>
      <w:bookmarkStart w:id="92" w:name="_Ref88161439"/>
      <w:bookmarkStart w:id="93" w:name="_Toc178764523"/>
      <w:r>
        <w:rPr>
          <w:rFonts w:hint="eastAsia" w:ascii="宋体" w:hAnsi="宋体"/>
          <w:b/>
          <w:bCs/>
          <w:sz w:val="24"/>
        </w:rPr>
        <w:t>投标文件的更改与撤回</w:t>
      </w:r>
      <w:bookmarkEnd w:id="88"/>
      <w:bookmarkEnd w:id="89"/>
      <w:bookmarkEnd w:id="90"/>
      <w:bookmarkEnd w:id="91"/>
      <w:bookmarkEnd w:id="92"/>
      <w:bookmarkEnd w:id="93"/>
    </w:p>
    <w:p>
      <w:pPr>
        <w:numPr>
          <w:ilvl w:val="1"/>
          <w:numId w:val="1"/>
        </w:numPr>
        <w:adjustRightInd w:val="0"/>
        <w:snapToGrid w:val="0"/>
        <w:spacing w:line="360" w:lineRule="auto"/>
        <w:outlineLvl w:val="3"/>
        <w:rPr>
          <w:rFonts w:ascii="宋体" w:hAnsi="宋体"/>
          <w:sz w:val="24"/>
        </w:rPr>
      </w:pPr>
      <w:r>
        <w:rPr>
          <w:rFonts w:hint="eastAsia" w:ascii="宋体" w:hAnsi="宋体"/>
          <w:sz w:val="24"/>
        </w:rPr>
        <w:t>在递交投标文件截止日以前，投标人可以更改或撤回其投标文件，但必须以书面形式通知招标人，并且该通知应经投标文件签字人签署。</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在时间紧迫的情况下，投标文件的撤回通知可通过电传或电报发出，但到达日期不能晚于递交投标文件的截止日。</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更改的投标文件应同样按照本须知有关投标文件的规定编写、密封、标志和发送。</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递交投标文件截止日后，投标文件不得更改。需做澄清时，应按本须知第</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REF _Ref88168536 \r \h</w:instrText>
      </w:r>
      <w:r>
        <w:rPr>
          <w:rFonts w:ascii="宋体" w:hAnsi="宋体"/>
          <w:sz w:val="24"/>
        </w:rPr>
        <w:instrText xml:space="preserve">  \* MERGEFORMAT </w:instrText>
      </w:r>
      <w:r>
        <w:rPr>
          <w:rFonts w:ascii="宋体" w:hAnsi="宋体"/>
          <w:sz w:val="24"/>
        </w:rPr>
        <w:fldChar w:fldCharType="separate"/>
      </w:r>
      <w:r>
        <w:rPr>
          <w:rFonts w:ascii="宋体" w:hAnsi="宋体"/>
          <w:sz w:val="24"/>
        </w:rPr>
        <w:t>23、</w:t>
      </w:r>
      <w:r>
        <w:rPr>
          <w:rFonts w:ascii="宋体" w:hAnsi="宋体"/>
          <w:sz w:val="24"/>
        </w:rPr>
        <w:fldChar w:fldCharType="end"/>
      </w:r>
      <w:r>
        <w:rPr>
          <w:rFonts w:hint="eastAsia" w:ascii="宋体" w:hAnsi="宋体"/>
          <w:sz w:val="24"/>
        </w:rPr>
        <w:t>条的规定办理。</w:t>
      </w:r>
    </w:p>
    <w:p>
      <w:pPr>
        <w:adjustRightInd w:val="0"/>
        <w:snapToGrid w:val="0"/>
        <w:spacing w:line="360" w:lineRule="auto"/>
        <w:jc w:val="center"/>
        <w:outlineLvl w:val="1"/>
        <w:rPr>
          <w:rFonts w:ascii="宋体" w:hAnsi="宋体"/>
          <w:b/>
          <w:bCs/>
          <w:sz w:val="24"/>
        </w:rPr>
      </w:pPr>
      <w:bookmarkStart w:id="94" w:name="_Toc178764524"/>
      <w:bookmarkStart w:id="95" w:name="_Toc236645320"/>
      <w:bookmarkStart w:id="96" w:name="_Toc420896512"/>
      <w:r>
        <w:rPr>
          <w:rFonts w:hint="eastAsia" w:ascii="宋体" w:hAnsi="宋体"/>
          <w:b/>
          <w:bCs/>
          <w:sz w:val="24"/>
        </w:rPr>
        <w:t>E.开标与评标</w:t>
      </w:r>
      <w:bookmarkEnd w:id="94"/>
      <w:bookmarkEnd w:id="95"/>
      <w:bookmarkEnd w:id="96"/>
    </w:p>
    <w:p>
      <w:pPr>
        <w:numPr>
          <w:ilvl w:val="0"/>
          <w:numId w:val="1"/>
        </w:numPr>
        <w:adjustRightInd w:val="0"/>
        <w:snapToGrid w:val="0"/>
        <w:spacing w:line="360" w:lineRule="auto"/>
        <w:outlineLvl w:val="2"/>
        <w:rPr>
          <w:rFonts w:ascii="宋体" w:hAnsi="宋体"/>
          <w:b/>
          <w:bCs/>
          <w:sz w:val="24"/>
        </w:rPr>
      </w:pPr>
      <w:bookmarkStart w:id="97" w:name="_Toc76382140"/>
      <w:bookmarkStart w:id="98" w:name="_Toc420896513"/>
      <w:bookmarkStart w:id="99" w:name="_Toc236643352"/>
      <w:bookmarkStart w:id="100" w:name="_Toc178764525"/>
      <w:bookmarkStart w:id="101" w:name="_Toc236645321"/>
      <w:r>
        <w:rPr>
          <w:rFonts w:hint="eastAsia" w:ascii="宋体" w:hAnsi="宋体"/>
          <w:b/>
          <w:bCs/>
          <w:sz w:val="24"/>
        </w:rPr>
        <w:t>开标</w:t>
      </w:r>
      <w:bookmarkEnd w:id="97"/>
      <w:bookmarkEnd w:id="98"/>
      <w:bookmarkEnd w:id="99"/>
      <w:bookmarkEnd w:id="100"/>
      <w:bookmarkEnd w:id="101"/>
    </w:p>
    <w:p>
      <w:pPr>
        <w:spacing w:line="360" w:lineRule="auto"/>
        <w:ind w:firstLine="480" w:firstLineChars="200"/>
        <w:rPr>
          <w:rFonts w:ascii="宋体" w:hAnsi="宋体"/>
          <w:sz w:val="24"/>
        </w:rPr>
      </w:pPr>
      <w:r>
        <w:rPr>
          <w:rFonts w:hint="eastAsia" w:ascii="宋体" w:hAnsi="宋体"/>
          <w:sz w:val="24"/>
        </w:rPr>
        <w:t>依据《中</w:t>
      </w:r>
      <w:r>
        <w:rPr>
          <w:rFonts w:hint="eastAsia" w:ascii="宋体" w:hAnsi="宋体" w:cs="宋体"/>
          <w:sz w:val="24"/>
        </w:rPr>
        <w:t>华</w:t>
      </w:r>
      <w:r>
        <w:rPr>
          <w:rFonts w:hint="eastAsia" w:ascii="宋体" w:hAnsi="宋体"/>
          <w:sz w:val="24"/>
        </w:rPr>
        <w:t>人民共和国招</w:t>
      </w:r>
      <w:r>
        <w:rPr>
          <w:rFonts w:hint="eastAsia" w:ascii="宋体" w:hAnsi="宋体" w:cs="宋体"/>
          <w:sz w:val="24"/>
        </w:rPr>
        <w:t>标</w:t>
      </w:r>
      <w:r>
        <w:rPr>
          <w:rFonts w:hint="eastAsia" w:ascii="宋体" w:hAnsi="宋体"/>
          <w:sz w:val="24"/>
        </w:rPr>
        <w:t>投</w:t>
      </w:r>
      <w:r>
        <w:rPr>
          <w:rFonts w:hint="eastAsia" w:ascii="宋体" w:hAnsi="宋体" w:cs="宋体"/>
          <w:sz w:val="24"/>
        </w:rPr>
        <w:t>标</w:t>
      </w:r>
      <w:r>
        <w:rPr>
          <w:rFonts w:hint="eastAsia" w:ascii="宋体" w:hAnsi="宋体"/>
          <w:sz w:val="24"/>
        </w:rPr>
        <w:t>法》等相</w:t>
      </w:r>
      <w:r>
        <w:rPr>
          <w:rFonts w:hint="eastAsia" w:ascii="宋体" w:hAnsi="宋体" w:cs="宋体"/>
          <w:sz w:val="24"/>
        </w:rPr>
        <w:t>关</w:t>
      </w:r>
      <w:r>
        <w:rPr>
          <w:rFonts w:hint="eastAsia" w:ascii="宋体" w:hAnsi="宋体"/>
          <w:sz w:val="24"/>
        </w:rPr>
        <w:t>法律法</w:t>
      </w:r>
      <w:r>
        <w:rPr>
          <w:rFonts w:hint="eastAsia" w:ascii="宋体" w:hAnsi="宋体" w:cs="宋体"/>
          <w:sz w:val="24"/>
        </w:rPr>
        <w:t>规</w:t>
      </w:r>
      <w:r>
        <w:rPr>
          <w:rFonts w:hint="eastAsia" w:ascii="宋体" w:hAnsi="宋体"/>
          <w:sz w:val="24"/>
        </w:rPr>
        <w:t>，</w:t>
      </w:r>
      <w:r>
        <w:rPr>
          <w:rFonts w:hint="eastAsia" w:ascii="宋体" w:hAnsi="宋体" w:cs="宋体"/>
          <w:sz w:val="24"/>
        </w:rPr>
        <w:t>开标</w:t>
      </w:r>
      <w:r>
        <w:rPr>
          <w:rFonts w:hint="eastAsia" w:ascii="宋体" w:hAnsi="宋体"/>
          <w:sz w:val="24"/>
        </w:rPr>
        <w:t>程序按下述</w:t>
      </w:r>
      <w:r>
        <w:rPr>
          <w:rFonts w:hint="eastAsia" w:ascii="宋体" w:hAnsi="宋体" w:cs="宋体"/>
          <w:sz w:val="24"/>
        </w:rPr>
        <w:t>顺</w:t>
      </w:r>
      <w:r>
        <w:rPr>
          <w:rFonts w:hint="eastAsia" w:ascii="宋体" w:hAnsi="宋体"/>
          <w:sz w:val="24"/>
        </w:rPr>
        <w:t>序</w:t>
      </w:r>
      <w:r>
        <w:rPr>
          <w:rFonts w:hint="eastAsia" w:ascii="宋体" w:hAnsi="宋体" w:cs="宋体"/>
          <w:sz w:val="24"/>
        </w:rPr>
        <w:t>进</w:t>
      </w:r>
      <w:r>
        <w:rPr>
          <w:rFonts w:hint="eastAsia" w:ascii="宋体" w:hAnsi="宋体"/>
          <w:sz w:val="24"/>
        </w:rPr>
        <w:t>行：</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招标人主持</w:t>
      </w:r>
      <w:r>
        <w:rPr>
          <w:rFonts w:hint="eastAsia" w:ascii="宋体" w:hAnsi="宋体" w:cs="宋体"/>
          <w:sz w:val="24"/>
        </w:rPr>
        <w:t>开标</w:t>
      </w:r>
      <w:r>
        <w:rPr>
          <w:rFonts w:hint="eastAsia" w:ascii="宋体" w:hAnsi="宋体"/>
          <w:sz w:val="24"/>
        </w:rPr>
        <w:t>会</w:t>
      </w:r>
      <w:r>
        <w:rPr>
          <w:rFonts w:hint="eastAsia" w:ascii="宋体" w:hAnsi="宋体" w:cs="宋体"/>
          <w:sz w:val="24"/>
        </w:rPr>
        <w:t>议</w:t>
      </w:r>
      <w:r>
        <w:rPr>
          <w:rFonts w:hint="eastAsia" w:ascii="宋体" w:hAnsi="宋体"/>
          <w:sz w:val="24"/>
        </w:rPr>
        <w:t>；</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投</w:t>
      </w:r>
      <w:r>
        <w:rPr>
          <w:rFonts w:hint="eastAsia" w:ascii="宋体" w:hAnsi="宋体" w:cs="宋体"/>
          <w:sz w:val="24"/>
        </w:rPr>
        <w:t>标</w:t>
      </w:r>
      <w:r>
        <w:rPr>
          <w:rFonts w:hint="eastAsia" w:ascii="宋体" w:hAnsi="宋体"/>
          <w:sz w:val="24"/>
        </w:rPr>
        <w:t>人身份核</w:t>
      </w:r>
      <w:r>
        <w:rPr>
          <w:rFonts w:hint="eastAsia" w:ascii="宋体" w:hAnsi="宋体" w:cs="宋体"/>
          <w:sz w:val="24"/>
        </w:rPr>
        <w:t>验</w:t>
      </w:r>
      <w:r>
        <w:rPr>
          <w:rFonts w:hint="eastAsia" w:ascii="宋体" w:hAnsi="宋体"/>
          <w:sz w:val="24"/>
        </w:rPr>
        <w:t>：</w:t>
      </w:r>
      <w:r>
        <w:rPr>
          <w:rFonts w:hint="eastAsia" w:ascii="宋体" w:hAnsi="宋体"/>
          <w:b/>
          <w:sz w:val="24"/>
        </w:rPr>
        <w:t>监标人</w:t>
      </w:r>
      <w:r>
        <w:rPr>
          <w:rFonts w:hint="eastAsia" w:ascii="宋体" w:hAnsi="宋体" w:cs="宋体"/>
          <w:b/>
          <w:sz w:val="24"/>
        </w:rPr>
        <w:t>或招标代理机构</w:t>
      </w:r>
      <w:r>
        <w:rPr>
          <w:rFonts w:hint="eastAsia" w:ascii="宋体" w:hAnsi="宋体"/>
          <w:b/>
          <w:sz w:val="24"/>
        </w:rPr>
        <w:t>核</w:t>
      </w:r>
      <w:r>
        <w:rPr>
          <w:rFonts w:hint="eastAsia" w:ascii="宋体" w:hAnsi="宋体" w:cs="宋体"/>
          <w:b/>
          <w:sz w:val="24"/>
        </w:rPr>
        <w:t>验</w:t>
      </w:r>
      <w:r>
        <w:rPr>
          <w:rFonts w:hint="eastAsia" w:ascii="宋体" w:hAnsi="宋体"/>
          <w:b/>
          <w:sz w:val="24"/>
        </w:rPr>
        <w:t>投</w:t>
      </w:r>
      <w:r>
        <w:rPr>
          <w:rFonts w:hint="eastAsia" w:ascii="宋体" w:hAnsi="宋体" w:cs="宋体"/>
          <w:b/>
          <w:sz w:val="24"/>
        </w:rPr>
        <w:t>标</w:t>
      </w:r>
      <w:r>
        <w:rPr>
          <w:rFonts w:hint="eastAsia" w:ascii="宋体" w:hAnsi="宋体"/>
          <w:b/>
          <w:sz w:val="24"/>
        </w:rPr>
        <w:t>人代表出具的法定代表人授</w:t>
      </w:r>
      <w:r>
        <w:rPr>
          <w:rFonts w:hint="eastAsia" w:ascii="宋体" w:hAnsi="宋体" w:cs="宋体"/>
          <w:b/>
          <w:sz w:val="24"/>
        </w:rPr>
        <w:t>权</w:t>
      </w:r>
      <w:r>
        <w:rPr>
          <w:rFonts w:hint="eastAsia" w:ascii="宋体" w:hAnsi="宋体"/>
          <w:b/>
          <w:sz w:val="24"/>
        </w:rPr>
        <w:t>委托</w:t>
      </w:r>
      <w:r>
        <w:rPr>
          <w:rFonts w:hint="eastAsia" w:ascii="宋体" w:hAnsi="宋体" w:cs="宋体"/>
          <w:b/>
          <w:sz w:val="24"/>
        </w:rPr>
        <w:t>书</w:t>
      </w:r>
      <w:r>
        <w:rPr>
          <w:rFonts w:hint="eastAsia" w:ascii="宋体" w:hAnsi="宋体"/>
          <w:b/>
          <w:sz w:val="24"/>
        </w:rPr>
        <w:t>、有效身份</w:t>
      </w:r>
      <w:r>
        <w:rPr>
          <w:rFonts w:hint="eastAsia" w:ascii="宋体" w:hAnsi="宋体" w:cs="宋体"/>
          <w:b/>
          <w:sz w:val="24"/>
        </w:rPr>
        <w:t>证</w:t>
      </w:r>
      <w:r>
        <w:rPr>
          <w:rFonts w:hint="eastAsia" w:ascii="宋体" w:hAnsi="宋体"/>
          <w:b/>
          <w:sz w:val="24"/>
        </w:rPr>
        <w:t>明的原件（同</w:t>
      </w:r>
      <w:r>
        <w:rPr>
          <w:rFonts w:hint="eastAsia" w:ascii="宋体" w:hAnsi="宋体" w:cs="宋体"/>
          <w:b/>
          <w:sz w:val="24"/>
        </w:rPr>
        <w:t>时递</w:t>
      </w:r>
      <w:r>
        <w:rPr>
          <w:rFonts w:hint="eastAsia" w:ascii="宋体" w:hAnsi="宋体"/>
          <w:b/>
          <w:sz w:val="24"/>
        </w:rPr>
        <w:t>交上述</w:t>
      </w:r>
      <w:r>
        <w:rPr>
          <w:rFonts w:hint="eastAsia" w:ascii="宋体" w:hAnsi="宋体" w:cs="宋体"/>
          <w:b/>
          <w:sz w:val="24"/>
        </w:rPr>
        <w:t>证</w:t>
      </w:r>
      <w:r>
        <w:rPr>
          <w:rFonts w:hint="eastAsia" w:ascii="宋体" w:hAnsi="宋体"/>
          <w:b/>
          <w:sz w:val="24"/>
        </w:rPr>
        <w:t>件的</w:t>
      </w:r>
      <w:r>
        <w:rPr>
          <w:rFonts w:hint="eastAsia" w:ascii="宋体" w:hAnsi="宋体" w:cs="宋体"/>
          <w:b/>
          <w:sz w:val="24"/>
        </w:rPr>
        <w:t>复</w:t>
      </w:r>
      <w:r>
        <w:rPr>
          <w:rFonts w:hint="eastAsia" w:ascii="宋体" w:hAnsi="宋体"/>
          <w:b/>
          <w:sz w:val="24"/>
        </w:rPr>
        <w:t>印件一套）</w:t>
      </w:r>
      <w:r>
        <w:rPr>
          <w:rFonts w:hint="eastAsia" w:ascii="宋体" w:hAnsi="宋体"/>
          <w:sz w:val="24"/>
        </w:rPr>
        <w:t>。如上述交</w:t>
      </w:r>
      <w:r>
        <w:rPr>
          <w:rFonts w:hint="eastAsia" w:ascii="宋体" w:hAnsi="宋体" w:cs="宋体"/>
          <w:sz w:val="24"/>
        </w:rPr>
        <w:t>验</w:t>
      </w:r>
      <w:r>
        <w:rPr>
          <w:rFonts w:hint="eastAsia" w:ascii="宋体" w:hAnsi="宋体"/>
          <w:sz w:val="24"/>
        </w:rPr>
        <w:t>的</w:t>
      </w:r>
      <w:r>
        <w:rPr>
          <w:rFonts w:hint="eastAsia" w:ascii="宋体" w:hAnsi="宋体" w:cs="宋体"/>
          <w:sz w:val="24"/>
        </w:rPr>
        <w:t>证</w:t>
      </w:r>
      <w:r>
        <w:rPr>
          <w:rFonts w:hint="eastAsia" w:ascii="宋体" w:hAnsi="宋体"/>
          <w:sz w:val="24"/>
        </w:rPr>
        <w:t>件</w:t>
      </w:r>
      <w:r>
        <w:rPr>
          <w:rFonts w:hint="eastAsia" w:ascii="宋体" w:hAnsi="宋体" w:cs="宋体"/>
          <w:sz w:val="24"/>
        </w:rPr>
        <w:t>资</w:t>
      </w:r>
      <w:r>
        <w:rPr>
          <w:rFonts w:hint="eastAsia" w:ascii="宋体" w:hAnsi="宋体"/>
          <w:sz w:val="24"/>
        </w:rPr>
        <w:t>料不全或不符合</w:t>
      </w:r>
      <w:r>
        <w:rPr>
          <w:rFonts w:hint="eastAsia" w:ascii="宋体" w:hAnsi="宋体" w:cs="宋体"/>
          <w:sz w:val="24"/>
        </w:rPr>
        <w:t>规</w:t>
      </w:r>
      <w:r>
        <w:rPr>
          <w:rFonts w:hint="eastAsia" w:ascii="宋体" w:hAnsi="宋体"/>
          <w:sz w:val="24"/>
        </w:rPr>
        <w:t>定者，不得参加</w:t>
      </w:r>
      <w:r>
        <w:rPr>
          <w:rFonts w:hint="eastAsia" w:ascii="宋体" w:hAnsi="宋体" w:cs="宋体"/>
          <w:sz w:val="24"/>
        </w:rPr>
        <w:t>开标</w:t>
      </w:r>
      <w:r>
        <w:rPr>
          <w:rFonts w:hint="eastAsia" w:ascii="宋体" w:hAnsi="宋体"/>
          <w:sz w:val="24"/>
        </w:rPr>
        <w:t>，其投</w:t>
      </w:r>
      <w:r>
        <w:rPr>
          <w:rFonts w:hint="eastAsia" w:ascii="宋体" w:hAnsi="宋体" w:cs="宋体"/>
          <w:sz w:val="24"/>
        </w:rPr>
        <w:t>标</w:t>
      </w:r>
      <w:r>
        <w:rPr>
          <w:rFonts w:hint="eastAsia" w:ascii="宋体" w:hAnsi="宋体"/>
          <w:sz w:val="24"/>
        </w:rPr>
        <w:t>文件按无效</w:t>
      </w:r>
      <w:r>
        <w:rPr>
          <w:rFonts w:hint="eastAsia" w:ascii="宋体" w:hAnsi="宋体" w:cs="宋体"/>
          <w:sz w:val="24"/>
        </w:rPr>
        <w:t>标处</w:t>
      </w:r>
      <w:r>
        <w:rPr>
          <w:rFonts w:hint="eastAsia" w:ascii="宋体" w:hAnsi="宋体"/>
          <w:sz w:val="24"/>
        </w:rPr>
        <w:t>理；</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在监察部</w:t>
      </w:r>
      <w:r>
        <w:rPr>
          <w:rFonts w:hint="eastAsia" w:ascii="宋体" w:hAnsi="宋体" w:cs="宋体"/>
          <w:sz w:val="24"/>
        </w:rPr>
        <w:t>门</w:t>
      </w:r>
      <w:r>
        <w:rPr>
          <w:rFonts w:hint="eastAsia" w:ascii="宋体" w:hAnsi="宋体"/>
          <w:sz w:val="24"/>
        </w:rPr>
        <w:t>代表的</w:t>
      </w:r>
      <w:r>
        <w:rPr>
          <w:rFonts w:hint="eastAsia" w:ascii="宋体" w:hAnsi="宋体" w:cs="宋体"/>
          <w:sz w:val="24"/>
        </w:rPr>
        <w:t>监</w:t>
      </w:r>
      <w:r>
        <w:rPr>
          <w:rFonts w:hint="eastAsia" w:ascii="宋体" w:hAnsi="宋体"/>
          <w:sz w:val="24"/>
        </w:rPr>
        <w:t>督下，由投标人代表（授权委托人）检查投</w:t>
      </w:r>
      <w:r>
        <w:rPr>
          <w:rFonts w:hint="eastAsia" w:ascii="宋体" w:hAnsi="宋体" w:cs="宋体"/>
          <w:sz w:val="24"/>
        </w:rPr>
        <w:t>标</w:t>
      </w:r>
      <w:r>
        <w:rPr>
          <w:rFonts w:hint="eastAsia" w:ascii="宋体" w:hAnsi="宋体"/>
          <w:sz w:val="24"/>
        </w:rPr>
        <w:t>文件的密封情况；</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招</w:t>
      </w:r>
      <w:r>
        <w:rPr>
          <w:rFonts w:hint="eastAsia" w:ascii="宋体" w:hAnsi="宋体" w:cs="宋体"/>
          <w:sz w:val="24"/>
        </w:rPr>
        <w:t>标</w:t>
      </w:r>
      <w:r>
        <w:rPr>
          <w:rFonts w:hint="eastAsia" w:ascii="宋体" w:hAnsi="宋体"/>
          <w:sz w:val="24"/>
        </w:rPr>
        <w:t>工作小</w:t>
      </w:r>
      <w:r>
        <w:rPr>
          <w:rFonts w:hint="eastAsia" w:ascii="宋体" w:hAnsi="宋体" w:cs="宋体"/>
          <w:sz w:val="24"/>
        </w:rPr>
        <w:t>组</w:t>
      </w:r>
      <w:r>
        <w:rPr>
          <w:rFonts w:hint="eastAsia" w:ascii="宋体" w:hAnsi="宋体"/>
          <w:sz w:val="24"/>
        </w:rPr>
        <w:t>当众</w:t>
      </w:r>
      <w:r>
        <w:rPr>
          <w:rFonts w:hint="eastAsia" w:ascii="宋体" w:hAnsi="宋体" w:cs="宋体"/>
          <w:sz w:val="24"/>
        </w:rPr>
        <w:t>开</w:t>
      </w:r>
      <w:r>
        <w:rPr>
          <w:rFonts w:hint="eastAsia" w:ascii="宋体" w:hAnsi="宋体"/>
          <w:sz w:val="24"/>
        </w:rPr>
        <w:t>启在投</w:t>
      </w:r>
      <w:r>
        <w:rPr>
          <w:rFonts w:hint="eastAsia" w:ascii="宋体" w:hAnsi="宋体" w:cs="宋体"/>
          <w:sz w:val="24"/>
        </w:rPr>
        <w:t>标</w:t>
      </w:r>
      <w:r>
        <w:rPr>
          <w:rFonts w:hint="eastAsia" w:ascii="宋体" w:hAnsi="宋体"/>
          <w:sz w:val="24"/>
        </w:rPr>
        <w:t>截止期前收到的所有有效投</w:t>
      </w:r>
      <w:r>
        <w:rPr>
          <w:rFonts w:hint="eastAsia" w:ascii="宋体" w:hAnsi="宋体" w:cs="宋体"/>
          <w:sz w:val="24"/>
        </w:rPr>
        <w:t>标</w:t>
      </w:r>
      <w:r>
        <w:rPr>
          <w:rFonts w:hint="eastAsia" w:ascii="宋体" w:hAnsi="宋体"/>
          <w:sz w:val="24"/>
        </w:rPr>
        <w:t xml:space="preserve">文件，已按第16条递交了投标文件的撤回通知者，不予拆封。 </w:t>
      </w:r>
    </w:p>
    <w:p>
      <w:pPr>
        <w:numPr>
          <w:ilvl w:val="1"/>
          <w:numId w:val="1"/>
        </w:numPr>
        <w:adjustRightInd w:val="0"/>
        <w:snapToGrid w:val="0"/>
        <w:spacing w:line="360" w:lineRule="auto"/>
        <w:outlineLvl w:val="3"/>
        <w:rPr>
          <w:rFonts w:ascii="宋体" w:hAnsi="宋体" w:cs="宋体"/>
          <w:sz w:val="24"/>
        </w:rPr>
      </w:pPr>
      <w:r>
        <w:rPr>
          <w:rFonts w:hint="eastAsia" w:ascii="宋体" w:hAnsi="宋体" w:cs="宋体"/>
          <w:sz w:val="24"/>
        </w:rPr>
        <w:t>开标过程，招标机构相关人员作好开标记录、签字，并存档备查。</w:t>
      </w:r>
    </w:p>
    <w:p>
      <w:pPr>
        <w:numPr>
          <w:ilvl w:val="1"/>
          <w:numId w:val="1"/>
        </w:numPr>
        <w:adjustRightInd w:val="0"/>
        <w:snapToGrid w:val="0"/>
        <w:spacing w:line="360" w:lineRule="auto"/>
        <w:outlineLvl w:val="3"/>
        <w:rPr>
          <w:rFonts w:ascii="宋体" w:hAnsi="宋体" w:cs="宋体"/>
          <w:sz w:val="24"/>
        </w:rPr>
      </w:pPr>
      <w:r>
        <w:rPr>
          <w:rFonts w:hint="eastAsia" w:ascii="宋体" w:hAnsi="宋体" w:cs="宋体"/>
          <w:sz w:val="24"/>
        </w:rPr>
        <w:t>投标人若有单独存放的投标资料变更声明，则必须在投标文件规定截止时间之前书面声明。否则，在评标时将一律不予考虑。</w:t>
      </w:r>
    </w:p>
    <w:p>
      <w:pPr>
        <w:numPr>
          <w:ilvl w:val="1"/>
          <w:numId w:val="1"/>
        </w:numPr>
        <w:adjustRightInd w:val="0"/>
        <w:snapToGrid w:val="0"/>
        <w:spacing w:line="360" w:lineRule="auto"/>
        <w:outlineLvl w:val="3"/>
        <w:rPr>
          <w:rFonts w:ascii="宋体" w:hAnsi="宋体"/>
          <w:sz w:val="24"/>
        </w:rPr>
      </w:pPr>
      <w:r>
        <w:rPr>
          <w:rFonts w:hint="eastAsia" w:ascii="宋体" w:hAnsi="宋体" w:cs="宋体"/>
          <w:sz w:val="24"/>
        </w:rPr>
        <w:t>在监察部门的监督下，投标人文件按照抽签顺序进行评审 。</w:t>
      </w:r>
    </w:p>
    <w:p>
      <w:pPr>
        <w:numPr>
          <w:ilvl w:val="0"/>
          <w:numId w:val="1"/>
        </w:numPr>
        <w:adjustRightInd w:val="0"/>
        <w:snapToGrid w:val="0"/>
        <w:spacing w:line="360" w:lineRule="auto"/>
        <w:outlineLvl w:val="2"/>
        <w:rPr>
          <w:rFonts w:ascii="宋体" w:hAnsi="宋体"/>
          <w:b/>
          <w:bCs/>
          <w:sz w:val="24"/>
        </w:rPr>
      </w:pPr>
      <w:bookmarkStart w:id="102" w:name="_Toc236645322"/>
      <w:bookmarkStart w:id="103" w:name="_Toc76382141"/>
      <w:bookmarkStart w:id="104" w:name="_Toc236643353"/>
      <w:bookmarkStart w:id="105" w:name="_Toc420896514"/>
      <w:bookmarkStart w:id="106" w:name="_Toc178764526"/>
      <w:r>
        <w:rPr>
          <w:rFonts w:hint="eastAsia" w:ascii="宋体" w:hAnsi="宋体"/>
          <w:b/>
          <w:bCs/>
          <w:sz w:val="24"/>
        </w:rPr>
        <w:t>评标过程的保密</w:t>
      </w:r>
      <w:bookmarkEnd w:id="102"/>
      <w:bookmarkEnd w:id="103"/>
      <w:bookmarkEnd w:id="104"/>
      <w:bookmarkEnd w:id="105"/>
      <w:bookmarkEnd w:id="106"/>
    </w:p>
    <w:p>
      <w:pPr>
        <w:numPr>
          <w:ilvl w:val="1"/>
          <w:numId w:val="1"/>
        </w:numPr>
        <w:adjustRightInd w:val="0"/>
        <w:snapToGrid w:val="0"/>
        <w:spacing w:line="360" w:lineRule="auto"/>
        <w:outlineLvl w:val="3"/>
        <w:rPr>
          <w:rFonts w:ascii="宋体" w:hAnsi="宋体"/>
          <w:sz w:val="24"/>
        </w:rPr>
      </w:pPr>
      <w:r>
        <w:rPr>
          <w:rFonts w:hint="eastAsia" w:ascii="宋体" w:hAnsi="宋体"/>
          <w:sz w:val="24"/>
        </w:rPr>
        <w:t>在公布评标结果之前，凡属于对投标文件的审查、澄清、评价和比较的有关资料和信息，不应向投标人或与该过程无关的其他人员泄露。</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投标人在此过程中对招标人施加任何影响的行为，将会导致取消对其投标文件的评定。</w:t>
      </w:r>
    </w:p>
    <w:p>
      <w:pPr>
        <w:numPr>
          <w:ilvl w:val="0"/>
          <w:numId w:val="1"/>
        </w:numPr>
        <w:adjustRightInd w:val="0"/>
        <w:snapToGrid w:val="0"/>
        <w:spacing w:line="360" w:lineRule="auto"/>
        <w:outlineLvl w:val="2"/>
        <w:rPr>
          <w:rFonts w:ascii="宋体" w:hAnsi="宋体"/>
          <w:b/>
          <w:bCs/>
          <w:sz w:val="24"/>
        </w:rPr>
      </w:pPr>
      <w:bookmarkStart w:id="107" w:name="_Toc178764527"/>
      <w:bookmarkStart w:id="108" w:name="_Toc420896515"/>
      <w:bookmarkStart w:id="109" w:name="_Toc76382142"/>
      <w:bookmarkStart w:id="110" w:name="_Toc236643354"/>
      <w:bookmarkStart w:id="111" w:name="_Toc236645323"/>
      <w:r>
        <w:rPr>
          <w:rFonts w:hint="eastAsia" w:ascii="宋体" w:hAnsi="宋体"/>
          <w:b/>
          <w:bCs/>
          <w:sz w:val="24"/>
        </w:rPr>
        <w:t>评标委员会</w:t>
      </w:r>
      <w:bookmarkEnd w:id="107"/>
      <w:bookmarkEnd w:id="108"/>
      <w:bookmarkEnd w:id="109"/>
      <w:bookmarkEnd w:id="110"/>
      <w:bookmarkEnd w:id="111"/>
    </w:p>
    <w:p>
      <w:pPr>
        <w:adjustRightInd w:val="0"/>
        <w:snapToGrid w:val="0"/>
        <w:spacing w:line="360" w:lineRule="auto"/>
        <w:ind w:firstLine="504" w:firstLineChars="210"/>
        <w:rPr>
          <w:rFonts w:ascii="宋体" w:hAnsi="宋体"/>
          <w:sz w:val="24"/>
        </w:rPr>
      </w:pPr>
      <w:bookmarkStart w:id="112" w:name="_Toc236645324"/>
      <w:bookmarkStart w:id="113" w:name="_Toc236643355"/>
      <w:bookmarkStart w:id="114" w:name="_Toc76382143"/>
      <w:bookmarkStart w:id="115" w:name="_Toc178764528"/>
      <w:r>
        <w:rPr>
          <w:rFonts w:hint="eastAsia" w:ascii="宋体" w:hAnsi="宋体"/>
          <w:sz w:val="24"/>
        </w:rPr>
        <w:t>按照 《中华人民共和国招标投标法》、七部委第12号令规定条件执行，由评标委员会推选1名评标组长。</w:t>
      </w:r>
    </w:p>
    <w:p>
      <w:pPr>
        <w:numPr>
          <w:ilvl w:val="0"/>
          <w:numId w:val="1"/>
        </w:numPr>
        <w:adjustRightInd w:val="0"/>
        <w:snapToGrid w:val="0"/>
        <w:spacing w:line="360" w:lineRule="auto"/>
        <w:outlineLvl w:val="2"/>
        <w:rPr>
          <w:rFonts w:ascii="宋体" w:hAnsi="宋体"/>
          <w:b/>
          <w:bCs/>
          <w:sz w:val="24"/>
        </w:rPr>
      </w:pPr>
      <w:bookmarkStart w:id="116" w:name="_Toc420896516"/>
      <w:r>
        <w:rPr>
          <w:rFonts w:hint="eastAsia" w:ascii="宋体" w:hAnsi="宋体"/>
          <w:b/>
          <w:bCs/>
          <w:sz w:val="24"/>
        </w:rPr>
        <w:t>符合性的鉴定</w:t>
      </w:r>
      <w:bookmarkEnd w:id="112"/>
      <w:bookmarkEnd w:id="113"/>
      <w:bookmarkEnd w:id="114"/>
      <w:bookmarkEnd w:id="115"/>
      <w:bookmarkEnd w:id="116"/>
    </w:p>
    <w:p>
      <w:pPr>
        <w:numPr>
          <w:ilvl w:val="1"/>
          <w:numId w:val="1"/>
        </w:numPr>
        <w:adjustRightInd w:val="0"/>
        <w:snapToGrid w:val="0"/>
        <w:spacing w:line="360" w:lineRule="auto"/>
        <w:outlineLvl w:val="3"/>
        <w:rPr>
          <w:rFonts w:ascii="宋体" w:hAnsi="宋体"/>
          <w:sz w:val="24"/>
        </w:rPr>
      </w:pPr>
      <w:r>
        <w:rPr>
          <w:rFonts w:hint="eastAsia" w:ascii="宋体" w:hAnsi="宋体"/>
          <w:sz w:val="24"/>
        </w:rPr>
        <w:t>尽管在拆封时对投标文件进行了核对，在进一步评标以前，评标委员会还将就每份投标文件是否原则上符合招标文件的要求进行鉴定。</w:t>
      </w:r>
    </w:p>
    <w:p>
      <w:pPr>
        <w:adjustRightInd w:val="0"/>
        <w:snapToGrid w:val="0"/>
        <w:spacing w:line="360" w:lineRule="auto"/>
        <w:ind w:firstLine="477" w:firstLineChars="198"/>
        <w:rPr>
          <w:rFonts w:ascii="宋体" w:hAnsi="宋体"/>
          <w:b/>
          <w:sz w:val="24"/>
        </w:rPr>
      </w:pPr>
      <w:r>
        <w:rPr>
          <w:rFonts w:hint="eastAsia" w:ascii="宋体" w:hAnsi="宋体"/>
          <w:b/>
          <w:sz w:val="24"/>
        </w:rPr>
        <w:t>投标文件有下列情形之一的，经评标委员会评审后按无效标处理或被否决：</w:t>
      </w:r>
    </w:p>
    <w:p>
      <w:pPr>
        <w:adjustRightInd w:val="0"/>
        <w:snapToGrid w:val="0"/>
        <w:spacing w:line="360" w:lineRule="auto"/>
        <w:ind w:firstLine="477" w:firstLineChars="198"/>
        <w:rPr>
          <w:rFonts w:ascii="宋体" w:hAnsi="宋体"/>
          <w:b/>
          <w:sz w:val="24"/>
        </w:rPr>
      </w:pPr>
      <w:r>
        <w:rPr>
          <w:rFonts w:hint="eastAsia" w:ascii="宋体" w:hAnsi="宋体"/>
          <w:b/>
          <w:sz w:val="24"/>
        </w:rPr>
        <w:t>（一）投标文件中的投标函无投标人公章（有效签署）、投标人的法定代表人有效签章；或无有效授权委托书原件的；</w:t>
      </w:r>
    </w:p>
    <w:p>
      <w:pPr>
        <w:adjustRightInd w:val="0"/>
        <w:snapToGrid w:val="0"/>
        <w:spacing w:line="360" w:lineRule="auto"/>
        <w:ind w:firstLine="477" w:firstLineChars="198"/>
        <w:rPr>
          <w:rFonts w:ascii="宋体" w:hAnsi="宋体"/>
          <w:b/>
          <w:sz w:val="24"/>
        </w:rPr>
      </w:pPr>
      <w:r>
        <w:rPr>
          <w:rFonts w:hint="eastAsia" w:ascii="宋体" w:hAnsi="宋体"/>
          <w:b/>
          <w:sz w:val="24"/>
        </w:rPr>
        <w:t>（二）投标文件中标明的投标人与申请人在名称和组织结构上存在实质性差别的；</w:t>
      </w:r>
    </w:p>
    <w:p>
      <w:pPr>
        <w:adjustRightInd w:val="0"/>
        <w:snapToGrid w:val="0"/>
        <w:spacing w:line="360" w:lineRule="auto"/>
        <w:ind w:firstLine="477" w:firstLineChars="198"/>
        <w:rPr>
          <w:rFonts w:ascii="宋体" w:hAnsi="宋体"/>
          <w:b/>
          <w:sz w:val="24"/>
        </w:rPr>
      </w:pPr>
      <w:r>
        <w:rPr>
          <w:rFonts w:hint="eastAsia" w:ascii="宋体" w:hAnsi="宋体"/>
          <w:b/>
          <w:sz w:val="24"/>
        </w:rPr>
        <w:t>（三）未按招标文件规定的格式填写，内容不全，未响应招标文件的实质性要求和条件的，经评标委员会评审未通过的；</w:t>
      </w:r>
    </w:p>
    <w:p>
      <w:pPr>
        <w:adjustRightInd w:val="0"/>
        <w:snapToGrid w:val="0"/>
        <w:spacing w:line="360" w:lineRule="auto"/>
        <w:ind w:firstLine="477" w:firstLineChars="198"/>
        <w:rPr>
          <w:rFonts w:ascii="宋体" w:hAnsi="宋体"/>
          <w:b/>
          <w:sz w:val="24"/>
        </w:rPr>
      </w:pPr>
      <w:r>
        <w:rPr>
          <w:rFonts w:hint="eastAsia" w:ascii="宋体" w:hAnsi="宋体"/>
          <w:b/>
          <w:sz w:val="24"/>
        </w:rPr>
        <w:t>（四）违反编制投标文件的相关规定，可能对评标工作产生实质性影响的；</w:t>
      </w:r>
    </w:p>
    <w:p>
      <w:pPr>
        <w:adjustRightInd w:val="0"/>
        <w:snapToGrid w:val="0"/>
        <w:spacing w:line="360" w:lineRule="auto"/>
        <w:ind w:firstLine="477" w:firstLineChars="198"/>
        <w:rPr>
          <w:rFonts w:ascii="宋体" w:hAnsi="宋体"/>
          <w:b/>
          <w:sz w:val="24"/>
        </w:rPr>
      </w:pPr>
      <w:r>
        <w:rPr>
          <w:rFonts w:hint="eastAsia" w:ascii="宋体" w:hAnsi="宋体"/>
          <w:b/>
          <w:sz w:val="24"/>
        </w:rPr>
        <w:t>（五）与其他投标人串通投标，或者与招标人串通投标的；</w:t>
      </w:r>
    </w:p>
    <w:p>
      <w:pPr>
        <w:adjustRightInd w:val="0"/>
        <w:snapToGrid w:val="0"/>
        <w:spacing w:line="360" w:lineRule="auto"/>
        <w:ind w:firstLine="477" w:firstLineChars="198"/>
        <w:rPr>
          <w:rFonts w:ascii="宋体" w:hAnsi="宋体"/>
          <w:b/>
          <w:sz w:val="24"/>
        </w:rPr>
      </w:pPr>
      <w:r>
        <w:rPr>
          <w:rFonts w:hint="eastAsia" w:ascii="宋体" w:hAnsi="宋体"/>
          <w:b/>
          <w:sz w:val="24"/>
        </w:rPr>
        <w:t>（六）以他人名义投标，或者以其他方式弄虚作假的；</w:t>
      </w:r>
    </w:p>
    <w:p>
      <w:pPr>
        <w:adjustRightInd w:val="0"/>
        <w:snapToGrid w:val="0"/>
        <w:spacing w:line="360" w:lineRule="auto"/>
        <w:ind w:firstLine="477" w:firstLineChars="198"/>
        <w:rPr>
          <w:rFonts w:ascii="宋体" w:hAnsi="宋体"/>
          <w:b/>
          <w:sz w:val="24"/>
        </w:rPr>
      </w:pPr>
      <w:r>
        <w:rPr>
          <w:rFonts w:hint="eastAsia" w:ascii="宋体" w:hAnsi="宋体"/>
          <w:b/>
          <w:sz w:val="24"/>
        </w:rPr>
        <w:t>（七）在投标过程中有商业贿赂行为的；</w:t>
      </w:r>
    </w:p>
    <w:p>
      <w:pPr>
        <w:adjustRightInd w:val="0"/>
        <w:snapToGrid w:val="0"/>
        <w:spacing w:line="360" w:lineRule="auto"/>
        <w:ind w:firstLine="477" w:firstLineChars="198"/>
        <w:rPr>
          <w:rFonts w:ascii="宋体" w:hAnsi="宋体"/>
          <w:b/>
          <w:sz w:val="24"/>
        </w:rPr>
      </w:pPr>
      <w:r>
        <w:rPr>
          <w:rFonts w:hint="eastAsia" w:ascii="宋体" w:hAnsi="宋体"/>
          <w:b/>
          <w:sz w:val="24"/>
        </w:rPr>
        <w:t>（八）其他违反招标文件规定实质性条款要求的。</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如果投标文件实质上不符合招标文件的规定，招标人将予以拒绝。事后，也不允许投标人更正或撤回其不符合规定的部分。</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有下列情形之一的，招标人应当依法重新招标：</w:t>
      </w:r>
    </w:p>
    <w:p>
      <w:pPr>
        <w:adjustRightInd w:val="0"/>
        <w:snapToGrid w:val="0"/>
        <w:spacing w:line="360" w:lineRule="auto"/>
        <w:ind w:firstLine="475" w:firstLineChars="198"/>
        <w:rPr>
          <w:rFonts w:ascii="宋体" w:hAnsi="宋体"/>
          <w:sz w:val="24"/>
        </w:rPr>
      </w:pPr>
      <w:r>
        <w:rPr>
          <w:rFonts w:hint="eastAsia" w:ascii="宋体" w:hAnsi="宋体"/>
          <w:sz w:val="24"/>
        </w:rPr>
        <w:t>（一）所有投标均做无效标处理或被否决的；</w:t>
      </w:r>
    </w:p>
    <w:p>
      <w:pPr>
        <w:adjustRightInd w:val="0"/>
        <w:snapToGrid w:val="0"/>
        <w:spacing w:line="360" w:lineRule="auto"/>
        <w:ind w:firstLine="475" w:firstLineChars="198"/>
        <w:rPr>
          <w:rFonts w:ascii="宋体" w:hAnsi="宋体"/>
          <w:sz w:val="24"/>
        </w:rPr>
      </w:pPr>
      <w:r>
        <w:rPr>
          <w:rFonts w:hint="eastAsia" w:ascii="宋体" w:hAnsi="宋体"/>
          <w:sz w:val="24"/>
        </w:rPr>
        <w:t>（二）评标委员会界定为不合格标或无效标后，因有效投标人不足三家使得投标明显缺乏竞争，评标委员会决定否决全部投标的；</w:t>
      </w:r>
    </w:p>
    <w:p>
      <w:pPr>
        <w:adjustRightInd w:val="0"/>
        <w:snapToGrid w:val="0"/>
        <w:spacing w:line="360" w:lineRule="auto"/>
        <w:ind w:firstLine="475" w:firstLineChars="198"/>
        <w:rPr>
          <w:rFonts w:ascii="宋体" w:hAnsi="宋体"/>
          <w:sz w:val="24"/>
        </w:rPr>
      </w:pPr>
      <w:r>
        <w:rPr>
          <w:rFonts w:hint="eastAsia" w:ascii="宋体" w:hAnsi="宋体"/>
          <w:sz w:val="24"/>
        </w:rPr>
        <w:t>（三）同意延长投标有效期的投标人少于3个的。</w:t>
      </w:r>
    </w:p>
    <w:p>
      <w:pPr>
        <w:numPr>
          <w:ilvl w:val="0"/>
          <w:numId w:val="1"/>
        </w:numPr>
        <w:adjustRightInd w:val="0"/>
        <w:snapToGrid w:val="0"/>
        <w:spacing w:line="360" w:lineRule="auto"/>
        <w:outlineLvl w:val="2"/>
        <w:rPr>
          <w:rFonts w:ascii="宋体" w:hAnsi="宋体"/>
          <w:b/>
          <w:bCs/>
          <w:sz w:val="24"/>
        </w:rPr>
      </w:pPr>
      <w:bookmarkStart w:id="117" w:name="_Toc420896517"/>
      <w:r>
        <w:rPr>
          <w:rFonts w:hint="eastAsia" w:ascii="宋体" w:hAnsi="宋体"/>
          <w:b/>
          <w:bCs/>
          <w:sz w:val="24"/>
        </w:rPr>
        <w:t>入围单位选择</w:t>
      </w:r>
      <w:bookmarkEnd w:id="117"/>
    </w:p>
    <w:p>
      <w:pPr>
        <w:adjustRightInd w:val="0"/>
        <w:snapToGrid w:val="0"/>
        <w:spacing w:line="360" w:lineRule="auto"/>
        <w:ind w:firstLine="480" w:firstLineChars="200"/>
        <w:outlineLvl w:val="2"/>
        <w:rPr>
          <w:rFonts w:ascii="宋体" w:hAnsi="宋体"/>
          <w:sz w:val="24"/>
          <w:u w:val="single"/>
        </w:rPr>
      </w:pPr>
      <w:bookmarkStart w:id="118" w:name="_Toc420896518"/>
      <w:bookmarkStart w:id="119" w:name="_Toc236643357"/>
      <w:bookmarkStart w:id="120" w:name="_Toc178764530"/>
      <w:bookmarkStart w:id="121" w:name="_Toc236645326"/>
      <w:bookmarkStart w:id="122" w:name="_Toc76382145"/>
      <w:r>
        <w:rPr>
          <w:rFonts w:hint="eastAsia" w:ascii="宋体" w:hAnsi="宋体"/>
          <w:sz w:val="24"/>
        </w:rPr>
        <w:t>评标委员会将进行有效投标的投标文件的评审，推荐</w:t>
      </w:r>
      <w:r>
        <w:rPr>
          <w:rFonts w:hint="eastAsia" w:ascii="宋体" w:hAnsi="宋体"/>
          <w:sz w:val="24"/>
          <w:u w:val="single"/>
        </w:rPr>
        <w:t>（视有效投标人个数确定）</w:t>
      </w:r>
      <w:r>
        <w:rPr>
          <w:rFonts w:hint="eastAsia" w:ascii="宋体" w:hAnsi="宋体"/>
          <w:sz w:val="24"/>
        </w:rPr>
        <w:t>名中标候选人作为入围单位，并据此形成评标报告。</w:t>
      </w:r>
      <w:bookmarkEnd w:id="118"/>
    </w:p>
    <w:p>
      <w:pPr>
        <w:numPr>
          <w:ilvl w:val="0"/>
          <w:numId w:val="1"/>
        </w:numPr>
        <w:adjustRightInd w:val="0"/>
        <w:snapToGrid w:val="0"/>
        <w:spacing w:line="360" w:lineRule="auto"/>
        <w:outlineLvl w:val="2"/>
        <w:rPr>
          <w:rFonts w:ascii="宋体" w:hAnsi="宋体"/>
          <w:b/>
          <w:bCs/>
          <w:sz w:val="24"/>
        </w:rPr>
      </w:pPr>
      <w:bookmarkStart w:id="123" w:name="_Toc420896519"/>
      <w:r>
        <w:rPr>
          <w:rFonts w:hint="eastAsia" w:ascii="宋体" w:hAnsi="宋体"/>
          <w:b/>
          <w:bCs/>
          <w:sz w:val="24"/>
        </w:rPr>
        <w:t>投标文件的评价原则</w:t>
      </w:r>
      <w:bookmarkEnd w:id="119"/>
      <w:bookmarkEnd w:id="120"/>
      <w:bookmarkEnd w:id="121"/>
      <w:bookmarkEnd w:id="122"/>
      <w:bookmarkEnd w:id="123"/>
    </w:p>
    <w:p>
      <w:pPr>
        <w:numPr>
          <w:ilvl w:val="1"/>
          <w:numId w:val="1"/>
        </w:numPr>
        <w:adjustRightInd w:val="0"/>
        <w:snapToGrid w:val="0"/>
        <w:spacing w:line="360" w:lineRule="auto"/>
        <w:outlineLvl w:val="3"/>
        <w:rPr>
          <w:rFonts w:ascii="宋体" w:hAnsi="宋体"/>
          <w:sz w:val="24"/>
        </w:rPr>
      </w:pPr>
      <w:r>
        <w:rPr>
          <w:rFonts w:hint="eastAsia" w:ascii="宋体" w:hAnsi="宋体"/>
          <w:sz w:val="24"/>
        </w:rPr>
        <w:t>评标委员会必须严格按照招标文件确定的评标标准和评标办法进行评审。评委应遵循公平、公正、客观、科学、独立、实事求是的评标原则。</w:t>
      </w:r>
    </w:p>
    <w:p>
      <w:pPr>
        <w:adjustRightInd w:val="0"/>
        <w:snapToGrid w:val="0"/>
        <w:spacing w:line="360" w:lineRule="auto"/>
        <w:ind w:firstLine="475" w:firstLineChars="198"/>
        <w:rPr>
          <w:rFonts w:ascii="宋体" w:hAnsi="宋体"/>
          <w:sz w:val="24"/>
        </w:rPr>
      </w:pPr>
      <w:r>
        <w:rPr>
          <w:rFonts w:hint="eastAsia" w:ascii="宋体" w:hAnsi="宋体"/>
          <w:sz w:val="24"/>
        </w:rPr>
        <w:t>评审标准主要包括以下方面：</w:t>
      </w:r>
    </w:p>
    <w:p>
      <w:pPr>
        <w:adjustRightInd w:val="0"/>
        <w:snapToGrid w:val="0"/>
        <w:spacing w:line="360" w:lineRule="auto"/>
        <w:ind w:firstLine="475" w:firstLineChars="198"/>
        <w:rPr>
          <w:rFonts w:ascii="宋体" w:hAnsi="宋体"/>
          <w:sz w:val="24"/>
        </w:rPr>
      </w:pPr>
      <w:r>
        <w:rPr>
          <w:rFonts w:hint="eastAsia" w:ascii="宋体" w:hAnsi="宋体"/>
          <w:sz w:val="24"/>
        </w:rPr>
        <w:t>（一）对投标人的服务承诺进行分析评价与比较；</w:t>
      </w:r>
    </w:p>
    <w:p>
      <w:pPr>
        <w:adjustRightInd w:val="0"/>
        <w:snapToGrid w:val="0"/>
        <w:spacing w:line="360" w:lineRule="auto"/>
        <w:ind w:firstLine="475" w:firstLineChars="198"/>
        <w:rPr>
          <w:rFonts w:ascii="宋体" w:hAnsi="宋体"/>
          <w:sz w:val="24"/>
        </w:rPr>
      </w:pPr>
      <w:r>
        <w:rPr>
          <w:rFonts w:hint="eastAsia" w:ascii="宋体" w:hAnsi="宋体"/>
          <w:sz w:val="24"/>
        </w:rPr>
        <w:t>（二）对投标人的人员安排及企业资质进行评价；</w:t>
      </w:r>
    </w:p>
    <w:p>
      <w:pPr>
        <w:adjustRightInd w:val="0"/>
        <w:snapToGrid w:val="0"/>
        <w:spacing w:line="360" w:lineRule="auto"/>
        <w:ind w:firstLine="475" w:firstLineChars="198"/>
        <w:rPr>
          <w:rFonts w:ascii="宋体" w:hAnsi="宋体"/>
          <w:sz w:val="24"/>
        </w:rPr>
      </w:pPr>
      <w:r>
        <w:rPr>
          <w:rFonts w:hint="eastAsia" w:ascii="宋体" w:hAnsi="宋体"/>
          <w:sz w:val="24"/>
        </w:rPr>
        <w:t>（三）对招标文件规定无效标或被否决的投标文进行评判。</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评标采用如下的程序进行：</w:t>
      </w:r>
    </w:p>
    <w:p>
      <w:pPr>
        <w:adjustRightInd w:val="0"/>
        <w:snapToGrid w:val="0"/>
        <w:spacing w:line="360" w:lineRule="auto"/>
        <w:ind w:firstLine="475" w:firstLineChars="198"/>
        <w:rPr>
          <w:rFonts w:ascii="宋体" w:hAnsi="宋体"/>
          <w:sz w:val="24"/>
        </w:rPr>
      </w:pPr>
      <w:r>
        <w:rPr>
          <w:rFonts w:hint="eastAsia" w:ascii="宋体" w:hAnsi="宋体"/>
          <w:sz w:val="24"/>
        </w:rPr>
        <w:t>（1）评标委员会对投标人的投标文件进行资格评审和符合性评审；</w:t>
      </w:r>
    </w:p>
    <w:p>
      <w:pPr>
        <w:adjustRightInd w:val="0"/>
        <w:snapToGrid w:val="0"/>
        <w:spacing w:line="360" w:lineRule="auto"/>
        <w:ind w:firstLine="475" w:firstLineChars="198"/>
        <w:rPr>
          <w:rFonts w:ascii="宋体" w:hAnsi="宋体"/>
          <w:sz w:val="24"/>
        </w:rPr>
      </w:pPr>
      <w:r>
        <w:rPr>
          <w:rFonts w:hint="eastAsia" w:ascii="宋体" w:hAnsi="宋体"/>
          <w:sz w:val="24"/>
        </w:rPr>
        <w:t>（2）评标委员会针对各投标资料提出质疑（若有）。</w:t>
      </w:r>
    </w:p>
    <w:p>
      <w:pPr>
        <w:adjustRightInd w:val="0"/>
        <w:snapToGrid w:val="0"/>
        <w:spacing w:line="360" w:lineRule="auto"/>
        <w:ind w:firstLine="475" w:firstLineChars="198"/>
        <w:rPr>
          <w:rFonts w:ascii="宋体" w:hAnsi="宋体"/>
          <w:sz w:val="24"/>
        </w:rPr>
      </w:pPr>
      <w:r>
        <w:rPr>
          <w:rFonts w:hint="eastAsia" w:ascii="宋体" w:hAnsi="宋体"/>
          <w:sz w:val="24"/>
        </w:rPr>
        <w:t>（3）评标委员会对各个通过资格评审和符合性评审的投标文件进行综合评审；</w:t>
      </w:r>
    </w:p>
    <w:p>
      <w:pPr>
        <w:adjustRightInd w:val="0"/>
        <w:snapToGrid w:val="0"/>
        <w:spacing w:line="360" w:lineRule="auto"/>
        <w:ind w:firstLine="475" w:firstLineChars="198"/>
        <w:rPr>
          <w:rFonts w:ascii="宋体" w:hAnsi="宋体"/>
          <w:sz w:val="24"/>
        </w:rPr>
      </w:pPr>
      <w:r>
        <w:rPr>
          <w:rFonts w:hint="eastAsia" w:ascii="宋体" w:hAnsi="宋体"/>
          <w:sz w:val="24"/>
        </w:rPr>
        <w:t>（4）评标委员会编写评标报告，依照综合评比确认最终确认中标人。</w:t>
      </w:r>
    </w:p>
    <w:p>
      <w:pPr>
        <w:numPr>
          <w:ilvl w:val="0"/>
          <w:numId w:val="1"/>
        </w:numPr>
        <w:adjustRightInd w:val="0"/>
        <w:snapToGrid w:val="0"/>
        <w:spacing w:line="360" w:lineRule="auto"/>
        <w:outlineLvl w:val="2"/>
        <w:rPr>
          <w:rFonts w:ascii="宋体" w:hAnsi="宋体"/>
          <w:b/>
          <w:bCs/>
          <w:sz w:val="24"/>
        </w:rPr>
      </w:pPr>
      <w:bookmarkStart w:id="124" w:name="_Ref88168536"/>
      <w:bookmarkStart w:id="125" w:name="_Toc420896520"/>
      <w:bookmarkStart w:id="126" w:name="_Toc236643358"/>
      <w:bookmarkStart w:id="127" w:name="_Toc178764531"/>
      <w:bookmarkStart w:id="128" w:name="_Toc76382146"/>
      <w:bookmarkStart w:id="129" w:name="_Toc236645327"/>
      <w:r>
        <w:rPr>
          <w:rFonts w:hint="eastAsia" w:ascii="宋体" w:hAnsi="宋体"/>
          <w:b/>
          <w:bCs/>
          <w:sz w:val="24"/>
        </w:rPr>
        <w:t>投标文件的澄清</w:t>
      </w:r>
      <w:bookmarkEnd w:id="124"/>
      <w:bookmarkEnd w:id="125"/>
      <w:bookmarkEnd w:id="126"/>
      <w:bookmarkEnd w:id="127"/>
      <w:bookmarkEnd w:id="128"/>
      <w:bookmarkEnd w:id="129"/>
    </w:p>
    <w:p>
      <w:pPr>
        <w:pStyle w:val="6"/>
        <w:adjustRightInd w:val="0"/>
        <w:snapToGrid w:val="0"/>
        <w:spacing w:line="360" w:lineRule="auto"/>
        <w:ind w:firstLine="480" w:firstLineChars="200"/>
        <w:rPr>
          <w:rFonts w:ascii="宋体" w:hAnsi="宋体" w:eastAsia="宋体"/>
          <w:sz w:val="24"/>
        </w:rPr>
      </w:pPr>
      <w:r>
        <w:rPr>
          <w:rFonts w:hint="eastAsia" w:ascii="宋体" w:hAnsi="宋体" w:eastAsia="宋体"/>
          <w:sz w:val="24"/>
        </w:rPr>
        <w:t>为有助于投标文件的审查、评价和比较，评标委员会可以要求投标人书面澄清，投标人应按要求完成。</w:t>
      </w:r>
    </w:p>
    <w:p>
      <w:pPr>
        <w:numPr>
          <w:ilvl w:val="0"/>
          <w:numId w:val="1"/>
        </w:numPr>
        <w:adjustRightInd w:val="0"/>
        <w:snapToGrid w:val="0"/>
        <w:spacing w:line="360" w:lineRule="auto"/>
        <w:outlineLvl w:val="2"/>
        <w:rPr>
          <w:rFonts w:ascii="宋体" w:hAnsi="宋体"/>
          <w:b/>
          <w:bCs/>
          <w:sz w:val="24"/>
        </w:rPr>
      </w:pPr>
      <w:bookmarkStart w:id="130" w:name="_Toc236645328"/>
      <w:bookmarkStart w:id="131" w:name="_Toc236643359"/>
      <w:bookmarkStart w:id="132" w:name="_Toc178764532"/>
      <w:bookmarkStart w:id="133" w:name="_Toc76382147"/>
      <w:bookmarkStart w:id="134" w:name="_Toc420896521"/>
      <w:r>
        <w:rPr>
          <w:rFonts w:hint="eastAsia" w:ascii="宋体" w:hAnsi="宋体"/>
          <w:b/>
          <w:bCs/>
          <w:sz w:val="24"/>
        </w:rPr>
        <w:t>评标报告</w:t>
      </w:r>
      <w:bookmarkEnd w:id="130"/>
      <w:bookmarkEnd w:id="131"/>
      <w:bookmarkEnd w:id="132"/>
      <w:bookmarkEnd w:id="133"/>
      <w:bookmarkEnd w:id="134"/>
    </w:p>
    <w:p>
      <w:pPr>
        <w:numPr>
          <w:ilvl w:val="1"/>
          <w:numId w:val="1"/>
        </w:numPr>
        <w:adjustRightInd w:val="0"/>
        <w:snapToGrid w:val="0"/>
        <w:spacing w:line="360" w:lineRule="auto"/>
        <w:outlineLvl w:val="3"/>
        <w:rPr>
          <w:rFonts w:ascii="宋体" w:hAnsi="宋体"/>
          <w:sz w:val="24"/>
        </w:rPr>
      </w:pPr>
      <w:r>
        <w:rPr>
          <w:rFonts w:hint="eastAsia" w:ascii="宋体" w:hAnsi="宋体"/>
          <w:sz w:val="24"/>
        </w:rPr>
        <w:t>评标委员会应当向招标人提供书面评标报告。</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评标报告应经评标委员会全体成员签署，并应当如实记载以下内容：</w:t>
      </w:r>
    </w:p>
    <w:p>
      <w:pPr>
        <w:adjustRightInd w:val="0"/>
        <w:snapToGrid w:val="0"/>
        <w:spacing w:line="360" w:lineRule="auto"/>
        <w:ind w:left="567" w:leftChars="270" w:firstLine="1"/>
        <w:rPr>
          <w:rFonts w:ascii="宋体" w:hAnsi="宋体"/>
          <w:sz w:val="24"/>
        </w:rPr>
      </w:pPr>
      <w:r>
        <w:rPr>
          <w:rFonts w:hint="eastAsia" w:ascii="宋体" w:hAnsi="宋体"/>
          <w:sz w:val="24"/>
        </w:rPr>
        <w:t>（1）符合要求的投标文件说明；</w:t>
      </w:r>
    </w:p>
    <w:p>
      <w:pPr>
        <w:adjustRightInd w:val="0"/>
        <w:snapToGrid w:val="0"/>
        <w:spacing w:line="360" w:lineRule="auto"/>
        <w:ind w:left="567" w:leftChars="270" w:firstLine="1"/>
        <w:rPr>
          <w:rFonts w:ascii="宋体" w:hAnsi="宋体"/>
          <w:sz w:val="24"/>
        </w:rPr>
      </w:pPr>
      <w:r>
        <w:rPr>
          <w:rFonts w:hint="eastAsia" w:ascii="宋体" w:hAnsi="宋体"/>
          <w:sz w:val="24"/>
        </w:rPr>
        <w:t>（2）无效标情况的说明（如果有）；</w:t>
      </w:r>
    </w:p>
    <w:p>
      <w:pPr>
        <w:adjustRightInd w:val="0"/>
        <w:snapToGrid w:val="0"/>
        <w:spacing w:line="360" w:lineRule="auto"/>
        <w:ind w:left="567" w:leftChars="270" w:firstLine="1"/>
        <w:rPr>
          <w:rFonts w:ascii="宋体" w:hAnsi="宋体"/>
          <w:sz w:val="24"/>
        </w:rPr>
      </w:pPr>
      <w:r>
        <w:rPr>
          <w:rFonts w:hint="eastAsia" w:ascii="宋体" w:hAnsi="宋体"/>
          <w:sz w:val="24"/>
        </w:rPr>
        <w:t>（3）评标过程的说明。</w:t>
      </w:r>
      <w:r>
        <w:rPr>
          <w:rFonts w:hint="eastAsia" w:ascii="宋体" w:hAnsi="宋体"/>
          <w:sz w:val="24"/>
        </w:rPr>
        <w:cr/>
      </w:r>
      <w:r>
        <w:rPr>
          <w:rFonts w:hint="eastAsia" w:ascii="宋体" w:hAnsi="宋体"/>
          <w:sz w:val="24"/>
        </w:rPr>
        <w:t>（4）推荐入选单位的优势说明；</w:t>
      </w:r>
      <w:r>
        <w:rPr>
          <w:rFonts w:hint="eastAsia" w:ascii="宋体" w:hAnsi="宋体"/>
          <w:sz w:val="24"/>
        </w:rPr>
        <w:cr/>
      </w:r>
      <w:r>
        <w:rPr>
          <w:rFonts w:hint="eastAsia" w:ascii="宋体" w:hAnsi="宋体"/>
          <w:sz w:val="24"/>
        </w:rPr>
        <w:t>（5）澄清、答疑事项的纪要。</w:t>
      </w:r>
    </w:p>
    <w:p>
      <w:pPr>
        <w:adjustRightInd w:val="0"/>
        <w:snapToGrid w:val="0"/>
        <w:spacing w:line="276" w:lineRule="auto"/>
        <w:jc w:val="center"/>
        <w:outlineLvl w:val="1"/>
        <w:rPr>
          <w:rFonts w:ascii="宋体" w:hAnsi="宋体"/>
          <w:b/>
          <w:bCs/>
          <w:sz w:val="24"/>
        </w:rPr>
      </w:pPr>
      <w:bookmarkStart w:id="135" w:name="_Toc178764536"/>
      <w:bookmarkStart w:id="136" w:name="_Toc236645329"/>
      <w:bookmarkStart w:id="137" w:name="_Toc420896522"/>
      <w:bookmarkStart w:id="138" w:name="_Toc178764533"/>
      <w:r>
        <w:rPr>
          <w:rFonts w:hint="eastAsia" w:ascii="宋体" w:hAnsi="宋体"/>
          <w:b/>
          <w:bCs/>
          <w:sz w:val="24"/>
        </w:rPr>
        <w:t>F.评标结果的通知</w:t>
      </w:r>
      <w:bookmarkEnd w:id="135"/>
      <w:bookmarkEnd w:id="136"/>
      <w:bookmarkEnd w:id="137"/>
    </w:p>
    <w:p>
      <w:pPr>
        <w:numPr>
          <w:ilvl w:val="0"/>
          <w:numId w:val="1"/>
        </w:numPr>
        <w:adjustRightInd w:val="0"/>
        <w:snapToGrid w:val="0"/>
        <w:spacing w:line="360" w:lineRule="auto"/>
        <w:outlineLvl w:val="2"/>
        <w:rPr>
          <w:rFonts w:ascii="宋体" w:hAnsi="宋体"/>
          <w:b/>
          <w:bCs/>
          <w:sz w:val="24"/>
        </w:rPr>
      </w:pPr>
      <w:bookmarkStart w:id="139" w:name="_Toc420896523"/>
      <w:bookmarkStart w:id="140" w:name="_Toc178764537"/>
      <w:bookmarkStart w:id="141" w:name="_Toc236645330"/>
      <w:bookmarkStart w:id="142" w:name="_Toc76382152"/>
      <w:bookmarkStart w:id="143" w:name="_Toc236643361"/>
      <w:r>
        <w:rPr>
          <w:rFonts w:hint="eastAsia" w:ascii="宋体" w:hAnsi="宋体"/>
          <w:b/>
          <w:bCs/>
          <w:sz w:val="24"/>
        </w:rPr>
        <w:t>评标结果通知书</w:t>
      </w:r>
      <w:bookmarkEnd w:id="139"/>
      <w:bookmarkEnd w:id="140"/>
      <w:bookmarkEnd w:id="141"/>
      <w:bookmarkEnd w:id="142"/>
      <w:bookmarkEnd w:id="143"/>
    </w:p>
    <w:p>
      <w:pPr>
        <w:adjustRightInd w:val="0"/>
        <w:snapToGrid w:val="0"/>
        <w:spacing w:line="360" w:lineRule="auto"/>
        <w:ind w:firstLine="460" w:firstLineChars="192"/>
        <w:rPr>
          <w:rFonts w:ascii="宋体" w:hAnsi="宋体"/>
          <w:sz w:val="24"/>
        </w:rPr>
      </w:pPr>
      <w:r>
        <w:rPr>
          <w:rFonts w:hint="eastAsia" w:ascii="宋体" w:hAnsi="宋体"/>
          <w:sz w:val="24"/>
        </w:rPr>
        <w:t>招标人将在招标结果确认后通知中标人，未中标候选人不再另行通知。</w:t>
      </w:r>
    </w:p>
    <w:p>
      <w:pPr>
        <w:numPr>
          <w:ilvl w:val="0"/>
          <w:numId w:val="1"/>
        </w:numPr>
        <w:adjustRightInd w:val="0"/>
        <w:snapToGrid w:val="0"/>
        <w:spacing w:line="360" w:lineRule="auto"/>
        <w:outlineLvl w:val="2"/>
        <w:rPr>
          <w:rFonts w:ascii="宋体" w:hAnsi="宋体"/>
          <w:b/>
          <w:bCs/>
          <w:sz w:val="24"/>
        </w:rPr>
      </w:pPr>
      <w:bookmarkStart w:id="144" w:name="_Toc76382153"/>
      <w:bookmarkStart w:id="145" w:name="_Toc236645331"/>
      <w:bookmarkStart w:id="146" w:name="_Toc178764538"/>
      <w:bookmarkStart w:id="147" w:name="_Toc236643362"/>
      <w:bookmarkStart w:id="148" w:name="_Toc420896524"/>
      <w:r>
        <w:rPr>
          <w:rFonts w:hint="eastAsia" w:ascii="宋体" w:hAnsi="宋体"/>
          <w:b/>
          <w:bCs/>
          <w:sz w:val="24"/>
        </w:rPr>
        <w:t>公示的期限</w:t>
      </w:r>
      <w:bookmarkEnd w:id="144"/>
      <w:bookmarkEnd w:id="145"/>
      <w:bookmarkEnd w:id="146"/>
      <w:bookmarkEnd w:id="147"/>
      <w:bookmarkEnd w:id="148"/>
      <w:r>
        <w:rPr>
          <w:rFonts w:hint="eastAsia" w:ascii="宋体" w:hAnsi="宋体"/>
          <w:b/>
          <w:bCs/>
          <w:sz w:val="24"/>
        </w:rPr>
        <w:t xml:space="preserve"> </w:t>
      </w:r>
    </w:p>
    <w:p>
      <w:pPr>
        <w:adjustRightInd w:val="0"/>
        <w:snapToGrid w:val="0"/>
        <w:spacing w:line="360" w:lineRule="auto"/>
        <w:ind w:firstLine="480" w:firstLineChars="200"/>
        <w:rPr>
          <w:rFonts w:ascii="宋体" w:hAnsi="宋体"/>
          <w:sz w:val="24"/>
        </w:rPr>
      </w:pPr>
      <w:r>
        <w:rPr>
          <w:rFonts w:hint="eastAsia" w:ascii="宋体" w:hAnsi="宋体"/>
          <w:sz w:val="24"/>
        </w:rPr>
        <w:t>公示期（如有）为自公示之日起5个日历日。投标人如有异议，可以在公示期内书面反映。过时不再受理。</w:t>
      </w:r>
    </w:p>
    <w:p>
      <w:pPr>
        <w:numPr>
          <w:ilvl w:val="0"/>
          <w:numId w:val="2"/>
        </w:numPr>
        <w:adjustRightInd w:val="0"/>
        <w:snapToGrid w:val="0"/>
        <w:spacing w:line="276" w:lineRule="auto"/>
        <w:jc w:val="center"/>
        <w:outlineLvl w:val="1"/>
        <w:rPr>
          <w:rFonts w:ascii="宋体" w:hAnsi="宋体"/>
          <w:b/>
          <w:bCs/>
          <w:sz w:val="24"/>
        </w:rPr>
      </w:pPr>
      <w:r>
        <w:rPr>
          <w:rFonts w:hint="eastAsia" w:ascii="宋体" w:hAnsi="宋体"/>
          <w:b/>
          <w:bCs/>
          <w:sz w:val="24"/>
        </w:rPr>
        <w:t>服务要求</w:t>
      </w:r>
    </w:p>
    <w:p>
      <w:pPr>
        <w:numPr>
          <w:ilvl w:val="0"/>
          <w:numId w:val="1"/>
        </w:numPr>
        <w:adjustRightInd w:val="0"/>
        <w:snapToGrid w:val="0"/>
        <w:spacing w:line="360" w:lineRule="auto"/>
        <w:outlineLvl w:val="2"/>
        <w:rPr>
          <w:rFonts w:ascii="宋体" w:hAnsi="宋体"/>
          <w:b/>
          <w:bCs/>
          <w:sz w:val="24"/>
        </w:rPr>
      </w:pPr>
      <w:r>
        <w:rPr>
          <w:rFonts w:hint="eastAsia" w:ascii="宋体" w:hAnsi="宋体"/>
          <w:b/>
          <w:bCs/>
          <w:sz w:val="24"/>
        </w:rPr>
        <w:t xml:space="preserve">服务要求 </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根据电梯维修保养使用安全管理规定的内容，维修保养包括: 经常性巡视保养，周巡视保养，月保养、季度保养、半年保养和年度保养:应急维修及专项维修。</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经常性巡视保养是每天进行巡视，以看、听、嗅、摸为手段，对电梯主要部位进行检查发现异常及时处理。</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周巡视保养是对电梯主要部位进行较为细致的检查、清理、润滑，使电梯保持良好的运行状态:使备用电梯处于合格的备用状态。</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月保养每月定期对电梯各部位进行清洁、润滑、检查和调整，尤其着重对各安全装置进行检修调试，以确保电梯安全运行。</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季度保养和半年保养是在月保养基础上，对电梯不易出现故障和损坏的部位进行较细致的保养，检查修理和简单的调整。</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年度保养是对电梯进行全面综合性检查、修理和调整，更换平时不易更换或因疲劳而降低性能的部件，使电梯有一个良好的状态。中修和大修是对电梯各部位进行分解、清洗、检修、调整，更换老化、失效、磨损严重、性能下降和不合用的部件，调整各点参数:使电梯恢复或达到国家规定和厂家设计的技术指标。</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供应商每次例行保养或检修后，供将有关维护保养或故障处理之“工作报告”一式两份，经供应商项目负责人及电梯管理员签字后，交采购人存档。</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要求现场提供人员驻点服务，若电梯发生困人故障，供应商须在20分钟内赶至现场处理；报告的其他故障，供应商须在30分钟内赶到现场处理故障。</w:t>
      </w:r>
    </w:p>
    <w:p>
      <w:pPr>
        <w:numPr>
          <w:ilvl w:val="1"/>
          <w:numId w:val="1"/>
        </w:numPr>
        <w:adjustRightInd w:val="0"/>
        <w:snapToGrid w:val="0"/>
        <w:spacing w:line="360" w:lineRule="auto"/>
        <w:outlineLvl w:val="3"/>
        <w:rPr>
          <w:rFonts w:ascii="宋体" w:hAnsi="宋体"/>
          <w:sz w:val="24"/>
        </w:rPr>
      </w:pPr>
      <w:r>
        <w:rPr>
          <w:rFonts w:hint="eastAsia" w:ascii="宋体" w:hAnsi="宋体"/>
          <w:sz w:val="24"/>
        </w:rPr>
        <w:t>供应商须协助采购人完成各类安全检查（各项检验/检测），向市场监督管理局办理该电梯安全年检手续以取得该电梯使用合格证 。（电梯年检及其他事宜供应商应提前2个月提醒采购人，年检及其他流程都由供应商负责完成，保险费用由供应商承担，年检费用由采购人承担）。</w:t>
      </w:r>
    </w:p>
    <w:p>
      <w:pPr>
        <w:pStyle w:val="2"/>
      </w:pPr>
    </w:p>
    <w:bookmarkEnd w:id="138"/>
    <w:p>
      <w:pPr>
        <w:adjustRightInd w:val="0"/>
        <w:snapToGrid w:val="0"/>
        <w:spacing w:line="276" w:lineRule="auto"/>
        <w:jc w:val="center"/>
        <w:outlineLvl w:val="1"/>
        <w:rPr>
          <w:rFonts w:ascii="宋体" w:hAnsi="宋体"/>
          <w:sz w:val="24"/>
        </w:rPr>
      </w:pPr>
      <w:bookmarkStart w:id="149" w:name="_Toc236645344"/>
      <w:bookmarkStart w:id="150" w:name="_Toc178764548"/>
      <w:r>
        <w:rPr>
          <w:rFonts w:hint="eastAsia" w:ascii="宋体" w:hAnsi="宋体"/>
          <w:b/>
          <w:bCs/>
          <w:sz w:val="24"/>
        </w:rPr>
        <w:t>H.其   他</w:t>
      </w:r>
      <w:bookmarkEnd w:id="149"/>
      <w:bookmarkEnd w:id="150"/>
    </w:p>
    <w:p>
      <w:pPr>
        <w:numPr>
          <w:ilvl w:val="0"/>
          <w:numId w:val="1"/>
        </w:numPr>
        <w:adjustRightInd w:val="0"/>
        <w:snapToGrid w:val="0"/>
        <w:spacing w:line="360" w:lineRule="auto"/>
        <w:outlineLvl w:val="2"/>
        <w:rPr>
          <w:rFonts w:ascii="宋体" w:hAnsi="宋体"/>
          <w:b/>
          <w:bCs/>
          <w:sz w:val="24"/>
        </w:rPr>
      </w:pPr>
      <w:bookmarkStart w:id="151" w:name="_Toc76382164"/>
      <w:bookmarkStart w:id="152" w:name="_Toc420896525"/>
      <w:bookmarkStart w:id="153" w:name="_Toc178764549"/>
      <w:bookmarkStart w:id="154" w:name="_Toc236643376"/>
      <w:bookmarkStart w:id="155" w:name="_Toc236645345"/>
      <w:r>
        <w:rPr>
          <w:rFonts w:hint="eastAsia" w:ascii="宋体" w:hAnsi="宋体"/>
          <w:b/>
          <w:bCs/>
          <w:sz w:val="24"/>
        </w:rPr>
        <w:t>招标文件的确认</w:t>
      </w:r>
      <w:bookmarkEnd w:id="151"/>
      <w:bookmarkEnd w:id="152"/>
      <w:bookmarkEnd w:id="153"/>
      <w:bookmarkEnd w:id="154"/>
      <w:bookmarkEnd w:id="155"/>
    </w:p>
    <w:p>
      <w:pPr>
        <w:adjustRightInd w:val="0"/>
        <w:snapToGrid w:val="0"/>
        <w:spacing w:line="360" w:lineRule="auto"/>
        <w:ind w:firstLine="480" w:firstLineChars="200"/>
        <w:rPr>
          <w:rFonts w:ascii="宋体" w:hAnsi="宋体"/>
          <w:sz w:val="24"/>
        </w:rPr>
      </w:pPr>
      <w:r>
        <w:rPr>
          <w:rFonts w:hint="eastAsia" w:ascii="宋体" w:hAnsi="宋体"/>
          <w:sz w:val="24"/>
        </w:rPr>
        <w:t>只要投标人参与投标并递交投标文件即视为已经理解并毫无保留地同意了本招标文件的所有条文。招标文件、投标文件以及投标人所做出的承诺等都将成为签订合同的依据。</w:t>
      </w:r>
    </w:p>
    <w:p>
      <w:pPr>
        <w:numPr>
          <w:ilvl w:val="0"/>
          <w:numId w:val="1"/>
        </w:numPr>
        <w:adjustRightInd w:val="0"/>
        <w:snapToGrid w:val="0"/>
        <w:spacing w:line="360" w:lineRule="auto"/>
        <w:outlineLvl w:val="2"/>
        <w:rPr>
          <w:rFonts w:ascii="宋体" w:hAnsi="宋体"/>
          <w:b/>
          <w:bCs/>
          <w:sz w:val="24"/>
        </w:rPr>
      </w:pPr>
      <w:bookmarkStart w:id="156" w:name="_Toc420896526"/>
      <w:r>
        <w:rPr>
          <w:rFonts w:hint="eastAsia" w:ascii="宋体" w:hAnsi="宋体"/>
          <w:b/>
          <w:bCs/>
          <w:sz w:val="24"/>
        </w:rPr>
        <w:t>后续成果文件的处理</w:t>
      </w:r>
      <w:bookmarkEnd w:id="156"/>
    </w:p>
    <w:p>
      <w:pPr>
        <w:adjustRightInd w:val="0"/>
        <w:snapToGrid w:val="0"/>
        <w:spacing w:line="360" w:lineRule="auto"/>
        <w:ind w:firstLine="480" w:firstLineChars="200"/>
        <w:rPr>
          <w:rFonts w:ascii="宋体" w:hAnsi="宋体"/>
          <w:sz w:val="24"/>
        </w:rPr>
      </w:pPr>
      <w:r>
        <w:rPr>
          <w:rFonts w:hint="eastAsia" w:ascii="宋体" w:hAnsi="宋体"/>
          <w:sz w:val="24"/>
        </w:rPr>
        <w:t>所有入选投标人出具的文件均不予退回。</w:t>
      </w:r>
      <w:bookmarkStart w:id="157" w:name="_Toc76382166"/>
      <w:bookmarkStart w:id="158" w:name="_Toc178764551"/>
    </w:p>
    <w:p>
      <w:pPr>
        <w:numPr>
          <w:ilvl w:val="0"/>
          <w:numId w:val="1"/>
        </w:numPr>
        <w:adjustRightInd w:val="0"/>
        <w:snapToGrid w:val="0"/>
        <w:spacing w:line="360" w:lineRule="auto"/>
        <w:outlineLvl w:val="2"/>
        <w:rPr>
          <w:rFonts w:ascii="宋体" w:hAnsi="宋体"/>
          <w:sz w:val="24"/>
        </w:rPr>
      </w:pPr>
      <w:bookmarkStart w:id="159" w:name="_Toc420896527"/>
      <w:r>
        <w:rPr>
          <w:rFonts w:hint="eastAsia" w:ascii="宋体" w:hAnsi="宋体"/>
          <w:b/>
          <w:bCs/>
          <w:sz w:val="24"/>
        </w:rPr>
        <w:t>法律适用</w:t>
      </w:r>
      <w:bookmarkEnd w:id="157"/>
      <w:bookmarkEnd w:id="158"/>
      <w:r>
        <w:rPr>
          <w:rFonts w:hint="eastAsia" w:ascii="宋体" w:hAnsi="宋体"/>
          <w:b/>
          <w:bCs/>
          <w:sz w:val="24"/>
        </w:rPr>
        <w:t xml:space="preserve"> </w:t>
      </w:r>
    </w:p>
    <w:p>
      <w:pPr>
        <w:adjustRightInd w:val="0"/>
        <w:snapToGrid w:val="0"/>
        <w:spacing w:line="360" w:lineRule="auto"/>
        <w:ind w:firstLine="480" w:firstLineChars="200"/>
        <w:rPr>
          <w:rFonts w:ascii="宋体" w:hAnsi="宋体"/>
          <w:sz w:val="24"/>
        </w:rPr>
      </w:pPr>
      <w:r>
        <w:rPr>
          <w:rFonts w:hint="eastAsia" w:ascii="宋体" w:hAnsi="宋体"/>
          <w:sz w:val="24"/>
        </w:rPr>
        <w:t>本次招标和投标活动适用中华人民共和国法律。</w:t>
      </w:r>
      <w:bookmarkEnd w:id="159"/>
    </w:p>
    <w:p>
      <w:pPr>
        <w:numPr>
          <w:ilvl w:val="0"/>
          <w:numId w:val="1"/>
        </w:numPr>
        <w:adjustRightInd w:val="0"/>
        <w:snapToGrid w:val="0"/>
        <w:spacing w:line="360" w:lineRule="auto"/>
        <w:outlineLvl w:val="2"/>
        <w:rPr>
          <w:rFonts w:ascii="宋体" w:hAnsi="宋体"/>
          <w:b/>
          <w:bCs/>
          <w:sz w:val="24"/>
        </w:rPr>
      </w:pPr>
      <w:bookmarkStart w:id="160" w:name="_Toc420896528"/>
      <w:r>
        <w:rPr>
          <w:rFonts w:hint="eastAsia" w:ascii="宋体" w:hAnsi="宋体"/>
          <w:b/>
          <w:bCs/>
          <w:sz w:val="24"/>
        </w:rPr>
        <w:t>管辖</w:t>
      </w:r>
      <w:bookmarkEnd w:id="160"/>
    </w:p>
    <w:p>
      <w:pPr>
        <w:pStyle w:val="6"/>
        <w:adjustRightInd w:val="0"/>
        <w:snapToGrid w:val="0"/>
        <w:spacing w:line="360" w:lineRule="auto"/>
        <w:ind w:firstLine="480" w:firstLineChars="200"/>
        <w:rPr>
          <w:rFonts w:ascii="宋体" w:hAnsi="宋体" w:eastAsia="宋体"/>
          <w:sz w:val="24"/>
        </w:rPr>
      </w:pPr>
      <w:r>
        <w:rPr>
          <w:rFonts w:hint="eastAsia" w:ascii="宋体" w:hAnsi="宋体" w:eastAsia="宋体"/>
          <w:sz w:val="24"/>
        </w:rPr>
        <w:t>因合同或进一步合作合同的效力、成立或与合同履行有关的一切争议，由招标人所在地仲裁委员会根据该会的仲裁规则裁决。</w:t>
      </w:r>
    </w:p>
    <w:p>
      <w:pPr>
        <w:numPr>
          <w:ilvl w:val="0"/>
          <w:numId w:val="1"/>
        </w:numPr>
        <w:adjustRightInd w:val="0"/>
        <w:snapToGrid w:val="0"/>
        <w:spacing w:line="360" w:lineRule="auto"/>
        <w:outlineLvl w:val="2"/>
        <w:rPr>
          <w:rFonts w:ascii="宋体" w:hAnsi="宋体"/>
          <w:b/>
          <w:bCs/>
          <w:sz w:val="24"/>
        </w:rPr>
      </w:pPr>
      <w:bookmarkStart w:id="161" w:name="_Toc420896529"/>
      <w:r>
        <w:rPr>
          <w:rFonts w:hint="eastAsia" w:ascii="宋体" w:hAnsi="宋体"/>
          <w:b/>
          <w:bCs/>
          <w:sz w:val="24"/>
        </w:rPr>
        <w:t>合同的具体内容由招标人和中标人共同协商确定。</w:t>
      </w:r>
      <w:bookmarkEnd w:id="161"/>
    </w:p>
    <w:p>
      <w:pPr>
        <w:adjustRightInd w:val="0"/>
        <w:snapToGrid w:val="0"/>
        <w:spacing w:line="276" w:lineRule="auto"/>
        <w:jc w:val="center"/>
        <w:outlineLvl w:val="1"/>
        <w:rPr>
          <w:rFonts w:ascii="宋体" w:hAnsi="宋体"/>
          <w:sz w:val="24"/>
        </w:rPr>
      </w:pPr>
      <w:r>
        <w:rPr>
          <w:rFonts w:hint="eastAsia" w:ascii="宋体" w:hAnsi="宋体"/>
          <w:b/>
          <w:bCs/>
          <w:sz w:val="24"/>
        </w:rPr>
        <w:t>I.设备清单</w:t>
      </w:r>
    </w:p>
    <w:p>
      <w:pPr>
        <w:adjustRightInd w:val="0"/>
        <w:snapToGrid w:val="0"/>
        <w:spacing w:line="276" w:lineRule="auto"/>
        <w:jc w:val="center"/>
        <w:outlineLvl w:val="0"/>
        <w:rPr>
          <w:rFonts w:ascii="宋体" w:hAnsi="宋体"/>
          <w:b/>
          <w:sz w:val="44"/>
          <w:szCs w:val="44"/>
        </w:rPr>
      </w:pPr>
    </w:p>
    <w:p>
      <w:pPr>
        <w:adjustRightInd w:val="0"/>
        <w:snapToGrid w:val="0"/>
        <w:spacing w:line="276" w:lineRule="auto"/>
        <w:jc w:val="center"/>
        <w:outlineLvl w:val="0"/>
        <w:rPr>
          <w:rFonts w:ascii="宋体" w:hAnsi="宋体"/>
          <w:b/>
          <w:sz w:val="44"/>
          <w:szCs w:val="44"/>
        </w:rPr>
      </w:pPr>
    </w:p>
    <w:p>
      <w:pPr>
        <w:adjustRightInd w:val="0"/>
        <w:snapToGrid w:val="0"/>
        <w:spacing w:line="276" w:lineRule="auto"/>
        <w:jc w:val="center"/>
        <w:outlineLvl w:val="0"/>
        <w:rPr>
          <w:rFonts w:ascii="宋体" w:hAnsi="宋体"/>
          <w:b/>
          <w:sz w:val="44"/>
          <w:szCs w:val="44"/>
        </w:rPr>
      </w:pPr>
    </w:p>
    <w:p>
      <w:pPr>
        <w:adjustRightInd w:val="0"/>
        <w:snapToGrid w:val="0"/>
        <w:spacing w:line="276" w:lineRule="auto"/>
        <w:jc w:val="center"/>
        <w:outlineLvl w:val="0"/>
        <w:rPr>
          <w:rFonts w:ascii="宋体" w:hAnsi="宋体"/>
          <w:b/>
          <w:sz w:val="44"/>
          <w:szCs w:val="44"/>
        </w:rPr>
      </w:pPr>
    </w:p>
    <w:p>
      <w:pPr>
        <w:adjustRightInd w:val="0"/>
        <w:snapToGrid w:val="0"/>
        <w:spacing w:line="276" w:lineRule="auto"/>
        <w:jc w:val="center"/>
        <w:outlineLvl w:val="0"/>
        <w:rPr>
          <w:rFonts w:ascii="宋体" w:hAnsi="宋体"/>
          <w:b/>
          <w:sz w:val="44"/>
          <w:szCs w:val="44"/>
        </w:rPr>
      </w:pPr>
    </w:p>
    <w:p>
      <w:pPr>
        <w:adjustRightInd w:val="0"/>
        <w:snapToGrid w:val="0"/>
        <w:spacing w:line="276" w:lineRule="auto"/>
        <w:jc w:val="center"/>
        <w:outlineLvl w:val="0"/>
        <w:rPr>
          <w:rFonts w:ascii="宋体" w:hAnsi="宋体"/>
          <w:b/>
          <w:sz w:val="44"/>
          <w:szCs w:val="44"/>
        </w:rPr>
      </w:pPr>
    </w:p>
    <w:p>
      <w:pPr>
        <w:adjustRightInd w:val="0"/>
        <w:snapToGrid w:val="0"/>
        <w:spacing w:line="276" w:lineRule="auto"/>
        <w:jc w:val="center"/>
        <w:outlineLvl w:val="0"/>
        <w:rPr>
          <w:rFonts w:ascii="宋体" w:hAnsi="宋体"/>
          <w:b/>
          <w:sz w:val="44"/>
          <w:szCs w:val="44"/>
        </w:rPr>
      </w:pPr>
    </w:p>
    <w:p>
      <w:pPr>
        <w:adjustRightInd w:val="0"/>
        <w:snapToGrid w:val="0"/>
        <w:spacing w:line="276" w:lineRule="auto"/>
        <w:jc w:val="center"/>
        <w:outlineLvl w:val="0"/>
        <w:rPr>
          <w:rFonts w:ascii="宋体" w:hAnsi="宋体"/>
          <w:b/>
          <w:sz w:val="44"/>
          <w:szCs w:val="44"/>
        </w:rPr>
      </w:pPr>
    </w:p>
    <w:p>
      <w:pPr>
        <w:adjustRightInd w:val="0"/>
        <w:snapToGrid w:val="0"/>
        <w:spacing w:line="276" w:lineRule="auto"/>
        <w:jc w:val="center"/>
        <w:outlineLvl w:val="0"/>
        <w:rPr>
          <w:rFonts w:ascii="宋体" w:hAnsi="宋体"/>
          <w:b/>
          <w:sz w:val="44"/>
          <w:szCs w:val="44"/>
        </w:rPr>
      </w:pPr>
    </w:p>
    <w:p>
      <w:pPr>
        <w:adjustRightInd w:val="0"/>
        <w:snapToGrid w:val="0"/>
        <w:spacing w:line="276" w:lineRule="auto"/>
        <w:jc w:val="center"/>
        <w:outlineLvl w:val="0"/>
        <w:rPr>
          <w:rFonts w:ascii="宋体" w:hAnsi="宋体"/>
          <w:b/>
          <w:sz w:val="44"/>
          <w:szCs w:val="44"/>
        </w:rPr>
      </w:pPr>
    </w:p>
    <w:p>
      <w:pPr>
        <w:adjustRightInd w:val="0"/>
        <w:snapToGrid w:val="0"/>
        <w:spacing w:line="276" w:lineRule="auto"/>
        <w:jc w:val="center"/>
        <w:outlineLvl w:val="0"/>
        <w:rPr>
          <w:rFonts w:ascii="宋体" w:hAnsi="宋体"/>
          <w:b/>
          <w:sz w:val="44"/>
          <w:szCs w:val="44"/>
        </w:rPr>
      </w:pPr>
    </w:p>
    <w:p>
      <w:pPr>
        <w:adjustRightInd w:val="0"/>
        <w:snapToGrid w:val="0"/>
        <w:spacing w:line="276" w:lineRule="auto"/>
        <w:jc w:val="center"/>
        <w:outlineLvl w:val="0"/>
        <w:rPr>
          <w:rFonts w:ascii="宋体" w:hAnsi="宋体"/>
          <w:b/>
          <w:sz w:val="44"/>
          <w:szCs w:val="44"/>
        </w:rPr>
      </w:pPr>
    </w:p>
    <w:p>
      <w:pPr>
        <w:adjustRightInd w:val="0"/>
        <w:snapToGrid w:val="0"/>
        <w:spacing w:line="276" w:lineRule="auto"/>
        <w:jc w:val="center"/>
        <w:outlineLvl w:val="0"/>
        <w:rPr>
          <w:rFonts w:ascii="宋体" w:hAnsi="宋体"/>
          <w:b/>
          <w:sz w:val="44"/>
          <w:szCs w:val="44"/>
        </w:rPr>
      </w:pPr>
    </w:p>
    <w:p>
      <w:pPr>
        <w:adjustRightInd w:val="0"/>
        <w:snapToGrid w:val="0"/>
        <w:spacing w:line="276" w:lineRule="auto"/>
        <w:jc w:val="center"/>
        <w:outlineLvl w:val="0"/>
        <w:rPr>
          <w:rFonts w:ascii="宋体" w:hAnsi="宋体"/>
          <w:b/>
          <w:sz w:val="44"/>
          <w:szCs w:val="44"/>
        </w:rPr>
      </w:pPr>
    </w:p>
    <w:p>
      <w:pPr>
        <w:adjustRightInd w:val="0"/>
        <w:snapToGrid w:val="0"/>
        <w:spacing w:line="276" w:lineRule="auto"/>
        <w:outlineLvl w:val="0"/>
        <w:rPr>
          <w:rFonts w:ascii="宋体" w:hAnsi="宋体"/>
          <w:b/>
          <w:sz w:val="44"/>
          <w:szCs w:val="44"/>
        </w:rPr>
      </w:pPr>
    </w:p>
    <w:p>
      <w:pPr>
        <w:adjustRightInd w:val="0"/>
        <w:snapToGrid w:val="0"/>
        <w:spacing w:line="276" w:lineRule="auto"/>
        <w:outlineLvl w:val="0"/>
        <w:rPr>
          <w:rFonts w:ascii="宋体" w:hAnsi="宋体"/>
          <w:b/>
          <w:sz w:val="44"/>
          <w:szCs w:val="44"/>
        </w:rPr>
        <w:sectPr>
          <w:headerReference r:id="rId4" w:type="first"/>
          <w:footerReference r:id="rId5" w:type="default"/>
          <w:headerReference r:id="rId3" w:type="even"/>
          <w:pgSz w:w="11906" w:h="16838"/>
          <w:pgMar w:top="1440" w:right="1800" w:bottom="1440" w:left="1800" w:header="851" w:footer="992" w:gutter="0"/>
          <w:cols w:space="425" w:num="1"/>
          <w:docGrid w:type="lines" w:linePitch="312" w:charSpace="0"/>
        </w:sectPr>
      </w:pPr>
    </w:p>
    <w:tbl>
      <w:tblPr>
        <w:tblStyle w:val="14"/>
        <w:tblW w:w="15420" w:type="dxa"/>
        <w:jc w:val="center"/>
        <w:tblLayout w:type="fixed"/>
        <w:tblCellMar>
          <w:top w:w="0" w:type="dxa"/>
          <w:left w:w="108" w:type="dxa"/>
          <w:bottom w:w="0" w:type="dxa"/>
          <w:right w:w="108" w:type="dxa"/>
        </w:tblCellMar>
      </w:tblPr>
      <w:tblGrid>
        <w:gridCol w:w="405"/>
        <w:gridCol w:w="717"/>
        <w:gridCol w:w="717"/>
        <w:gridCol w:w="1441"/>
        <w:gridCol w:w="3975"/>
        <w:gridCol w:w="643"/>
        <w:gridCol w:w="2045"/>
        <w:gridCol w:w="1550"/>
        <w:gridCol w:w="850"/>
        <w:gridCol w:w="687"/>
        <w:gridCol w:w="813"/>
        <w:gridCol w:w="724"/>
        <w:gridCol w:w="853"/>
      </w:tblGrid>
      <w:tr>
        <w:tblPrEx>
          <w:tblCellMar>
            <w:top w:w="0" w:type="dxa"/>
            <w:left w:w="108" w:type="dxa"/>
            <w:bottom w:w="0" w:type="dxa"/>
            <w:right w:w="108" w:type="dxa"/>
          </w:tblCellMar>
        </w:tblPrEx>
        <w:trPr>
          <w:trHeight w:val="420" w:hRule="atLeast"/>
          <w:jc w:val="center"/>
        </w:trPr>
        <w:tc>
          <w:tcPr>
            <w:tcW w:w="154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28"/>
                <w:szCs w:val="28"/>
              </w:rPr>
            </w:pPr>
            <w:r>
              <w:rPr>
                <w:rFonts w:hint="eastAsia" w:ascii="微软雅黑" w:hAnsi="微软雅黑" w:eastAsia="微软雅黑" w:cs="微软雅黑"/>
                <w:b/>
                <w:bCs/>
                <w:color w:val="000000"/>
                <w:kern w:val="0"/>
                <w:sz w:val="28"/>
                <w:szCs w:val="28"/>
                <w:lang w:bidi="ar"/>
              </w:rPr>
              <w:t>直梯清单</w:t>
            </w:r>
          </w:p>
        </w:tc>
      </w:tr>
      <w:tr>
        <w:tblPrEx>
          <w:tblCellMar>
            <w:top w:w="0" w:type="dxa"/>
            <w:left w:w="108" w:type="dxa"/>
            <w:bottom w:w="0" w:type="dxa"/>
            <w:right w:w="108" w:type="dxa"/>
          </w:tblCellMar>
        </w:tblPrEx>
        <w:trPr>
          <w:trHeight w:val="27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序号</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电梯类型</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使用年限</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使用单位</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坐落地址</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品牌</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设备代码</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使用编号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年检月份</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层站</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载重</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速度米/秒</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梯号/编号</w:t>
            </w:r>
          </w:p>
        </w:tc>
      </w:tr>
      <w:tr>
        <w:tblPrEx>
          <w:tblCellMar>
            <w:top w:w="0" w:type="dxa"/>
            <w:left w:w="108" w:type="dxa"/>
            <w:bottom w:w="0" w:type="dxa"/>
            <w:right w:w="108"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直梯</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上饶第二人民医院</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微软雅黑"/>
                <w:color w:val="333333"/>
                <w:sz w:val="18"/>
                <w:szCs w:val="18"/>
              </w:rPr>
            </w:pPr>
            <w:r>
              <w:rPr>
                <w:rFonts w:hint="eastAsia" w:ascii="宋体" w:hAnsi="宋体" w:cs="微软雅黑"/>
                <w:color w:val="333333"/>
                <w:kern w:val="0"/>
                <w:sz w:val="18"/>
                <w:szCs w:val="18"/>
                <w:lang w:bidi="ar"/>
              </w:rPr>
              <w:t>江西省</w:t>
            </w:r>
            <w:r>
              <w:rPr>
                <w:rFonts w:hint="eastAsia" w:ascii="宋体" w:hAnsi="宋体"/>
                <w:kern w:val="0"/>
                <w:sz w:val="18"/>
                <w:szCs w:val="18"/>
              </w:rPr>
              <w:t>上饶市信州区水南街道丰溪路6</w:t>
            </w:r>
            <w:r>
              <w:rPr>
                <w:rFonts w:ascii="宋体" w:hAnsi="宋体"/>
                <w:kern w:val="0"/>
                <w:sz w:val="18"/>
                <w:szCs w:val="18"/>
              </w:rPr>
              <w:t>6</w:t>
            </w:r>
            <w:r>
              <w:rPr>
                <w:rFonts w:hint="eastAsia" w:ascii="宋体" w:hAnsi="宋体"/>
                <w:kern w:val="0"/>
                <w:sz w:val="18"/>
                <w:szCs w:val="18"/>
              </w:rPr>
              <w:t>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奥的斯机电</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333333"/>
                <w:sz w:val="16"/>
                <w:szCs w:val="16"/>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333333"/>
                <w:sz w:val="16"/>
                <w:szCs w:val="16"/>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eastAsia="zh-CN"/>
              </w:rPr>
              <w:t>七层</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16"/>
                <w:szCs w:val="16"/>
                <w:lang w:eastAsia="zh-CN"/>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1.75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01/L1</w:t>
            </w:r>
          </w:p>
        </w:tc>
      </w:tr>
      <w:tr>
        <w:tblPrEx>
          <w:tblCellMar>
            <w:top w:w="0" w:type="dxa"/>
            <w:left w:w="108" w:type="dxa"/>
            <w:bottom w:w="0" w:type="dxa"/>
            <w:right w:w="108"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直梯</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上饶第二人民医院</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333333"/>
                <w:sz w:val="16"/>
                <w:szCs w:val="16"/>
              </w:rPr>
            </w:pPr>
            <w:r>
              <w:rPr>
                <w:rFonts w:hint="eastAsia" w:ascii="宋体" w:hAnsi="宋体" w:cs="微软雅黑"/>
                <w:color w:val="333333"/>
                <w:kern w:val="0"/>
                <w:sz w:val="18"/>
                <w:szCs w:val="18"/>
                <w:lang w:bidi="ar"/>
              </w:rPr>
              <w:t>江西省</w:t>
            </w:r>
            <w:r>
              <w:rPr>
                <w:rFonts w:hint="eastAsia" w:ascii="宋体" w:hAnsi="宋体"/>
                <w:kern w:val="0"/>
                <w:sz w:val="18"/>
                <w:szCs w:val="18"/>
              </w:rPr>
              <w:t>上饶市信州区水南街道丰溪路6</w:t>
            </w:r>
            <w:r>
              <w:rPr>
                <w:rFonts w:ascii="宋体" w:hAnsi="宋体"/>
                <w:kern w:val="0"/>
                <w:sz w:val="18"/>
                <w:szCs w:val="18"/>
              </w:rPr>
              <w:t>6</w:t>
            </w:r>
            <w:r>
              <w:rPr>
                <w:rFonts w:hint="eastAsia" w:ascii="宋体" w:hAnsi="宋体"/>
                <w:kern w:val="0"/>
                <w:sz w:val="18"/>
                <w:szCs w:val="18"/>
              </w:rPr>
              <w:t>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奥的斯机电</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333333"/>
                <w:sz w:val="16"/>
                <w:szCs w:val="16"/>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333333"/>
                <w:sz w:val="16"/>
                <w:szCs w:val="16"/>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eastAsia="zh-CN"/>
              </w:rPr>
              <w:t>七层</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16"/>
                <w:szCs w:val="16"/>
                <w:lang w:eastAsia="zh-CN"/>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1.75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02/L2</w:t>
            </w:r>
          </w:p>
        </w:tc>
      </w:tr>
      <w:tr>
        <w:tblPrEx>
          <w:tblCellMar>
            <w:top w:w="0" w:type="dxa"/>
            <w:left w:w="108" w:type="dxa"/>
            <w:bottom w:w="0" w:type="dxa"/>
            <w:right w:w="108"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直梯</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上饶第二人民医院</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333333"/>
                <w:sz w:val="16"/>
                <w:szCs w:val="16"/>
              </w:rPr>
            </w:pPr>
            <w:r>
              <w:rPr>
                <w:rFonts w:hint="eastAsia" w:ascii="宋体" w:hAnsi="宋体" w:cs="微软雅黑"/>
                <w:color w:val="333333"/>
                <w:kern w:val="0"/>
                <w:sz w:val="18"/>
                <w:szCs w:val="18"/>
                <w:lang w:bidi="ar"/>
              </w:rPr>
              <w:t>江西省</w:t>
            </w:r>
            <w:r>
              <w:rPr>
                <w:rFonts w:hint="eastAsia" w:ascii="宋体" w:hAnsi="宋体"/>
                <w:kern w:val="0"/>
                <w:sz w:val="18"/>
                <w:szCs w:val="18"/>
              </w:rPr>
              <w:t>上饶市信州区水南街道丰溪路6</w:t>
            </w:r>
            <w:r>
              <w:rPr>
                <w:rFonts w:ascii="宋体" w:hAnsi="宋体"/>
                <w:kern w:val="0"/>
                <w:sz w:val="18"/>
                <w:szCs w:val="18"/>
              </w:rPr>
              <w:t>6</w:t>
            </w:r>
            <w:r>
              <w:rPr>
                <w:rFonts w:hint="eastAsia" w:ascii="宋体" w:hAnsi="宋体"/>
                <w:kern w:val="0"/>
                <w:sz w:val="18"/>
                <w:szCs w:val="18"/>
              </w:rPr>
              <w:t>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奥的斯机电</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333333"/>
                <w:sz w:val="16"/>
                <w:szCs w:val="16"/>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333333"/>
                <w:sz w:val="16"/>
                <w:szCs w:val="16"/>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eastAsia="zh-CN"/>
              </w:rPr>
              <w:t>七层</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16"/>
                <w:szCs w:val="16"/>
                <w:lang w:eastAsia="zh-CN"/>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1.75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03/L3</w:t>
            </w:r>
          </w:p>
        </w:tc>
      </w:tr>
      <w:tr>
        <w:tblPrEx>
          <w:tblCellMar>
            <w:top w:w="0" w:type="dxa"/>
            <w:left w:w="108" w:type="dxa"/>
            <w:bottom w:w="0" w:type="dxa"/>
            <w:right w:w="108"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直梯</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上饶第二人民医院</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333333"/>
                <w:sz w:val="16"/>
                <w:szCs w:val="16"/>
              </w:rPr>
            </w:pPr>
            <w:r>
              <w:rPr>
                <w:rFonts w:hint="eastAsia" w:ascii="宋体" w:hAnsi="宋体" w:cs="微软雅黑"/>
                <w:color w:val="333333"/>
                <w:kern w:val="0"/>
                <w:sz w:val="18"/>
                <w:szCs w:val="18"/>
                <w:lang w:bidi="ar"/>
              </w:rPr>
              <w:t>江西省</w:t>
            </w:r>
            <w:r>
              <w:rPr>
                <w:rFonts w:hint="eastAsia" w:ascii="宋体" w:hAnsi="宋体"/>
                <w:kern w:val="0"/>
                <w:sz w:val="18"/>
                <w:szCs w:val="18"/>
              </w:rPr>
              <w:t>上饶市信州区水南街道丰溪路6</w:t>
            </w:r>
            <w:r>
              <w:rPr>
                <w:rFonts w:ascii="宋体" w:hAnsi="宋体"/>
                <w:kern w:val="0"/>
                <w:sz w:val="18"/>
                <w:szCs w:val="18"/>
              </w:rPr>
              <w:t>6</w:t>
            </w:r>
            <w:r>
              <w:rPr>
                <w:rFonts w:hint="eastAsia" w:ascii="宋体" w:hAnsi="宋体"/>
                <w:kern w:val="0"/>
                <w:sz w:val="18"/>
                <w:szCs w:val="18"/>
              </w:rPr>
              <w:t>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奥的斯机电</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333333"/>
                <w:sz w:val="16"/>
                <w:szCs w:val="16"/>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333333"/>
                <w:sz w:val="16"/>
                <w:szCs w:val="16"/>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sz w:val="16"/>
                <w:szCs w:val="16"/>
                <w:lang w:eastAsia="zh-CN"/>
              </w:rPr>
              <w:t>六层</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16"/>
                <w:szCs w:val="16"/>
                <w:lang w:eastAsia="zh-CN"/>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1.75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04/L4</w:t>
            </w:r>
          </w:p>
        </w:tc>
      </w:tr>
      <w:tr>
        <w:tblPrEx>
          <w:tblCellMar>
            <w:top w:w="0" w:type="dxa"/>
            <w:left w:w="108" w:type="dxa"/>
            <w:bottom w:w="0" w:type="dxa"/>
            <w:right w:w="108"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直梯</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上饶第二人民医院</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宋体" w:hAnsi="宋体" w:cs="微软雅黑"/>
                <w:color w:val="333333"/>
                <w:kern w:val="0"/>
                <w:sz w:val="18"/>
                <w:szCs w:val="18"/>
                <w:lang w:bidi="ar"/>
              </w:rPr>
              <w:t>江西省</w:t>
            </w:r>
            <w:r>
              <w:rPr>
                <w:rFonts w:hint="eastAsia" w:ascii="宋体" w:hAnsi="宋体"/>
                <w:kern w:val="0"/>
                <w:sz w:val="18"/>
                <w:szCs w:val="18"/>
              </w:rPr>
              <w:t>上饶市信州区水南街道丰溪路6</w:t>
            </w:r>
            <w:r>
              <w:rPr>
                <w:rFonts w:ascii="宋体" w:hAnsi="宋体"/>
                <w:kern w:val="0"/>
                <w:sz w:val="18"/>
                <w:szCs w:val="18"/>
              </w:rPr>
              <w:t>6</w:t>
            </w:r>
            <w:r>
              <w:rPr>
                <w:rFonts w:hint="eastAsia" w:ascii="宋体" w:hAnsi="宋体"/>
                <w:kern w:val="0"/>
                <w:sz w:val="18"/>
                <w:szCs w:val="18"/>
              </w:rPr>
              <w:t>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奥的斯机电</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sz w:val="16"/>
                <w:szCs w:val="16"/>
                <w:lang w:eastAsia="zh-CN"/>
              </w:rPr>
              <w:t>六层</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16"/>
                <w:szCs w:val="16"/>
                <w:lang w:eastAsia="zh-CN"/>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1.75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05/L5</w:t>
            </w:r>
          </w:p>
        </w:tc>
      </w:tr>
      <w:tr>
        <w:tblPrEx>
          <w:tblCellMar>
            <w:top w:w="0" w:type="dxa"/>
            <w:left w:w="108" w:type="dxa"/>
            <w:bottom w:w="0" w:type="dxa"/>
            <w:right w:w="108"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直梯</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上饶第二人民医院</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宋体" w:hAnsi="宋体" w:cs="微软雅黑"/>
                <w:color w:val="333333"/>
                <w:kern w:val="0"/>
                <w:sz w:val="18"/>
                <w:szCs w:val="18"/>
                <w:lang w:bidi="ar"/>
              </w:rPr>
              <w:t>江西省</w:t>
            </w:r>
            <w:r>
              <w:rPr>
                <w:rFonts w:hint="eastAsia" w:ascii="宋体" w:hAnsi="宋体"/>
                <w:kern w:val="0"/>
                <w:sz w:val="18"/>
                <w:szCs w:val="18"/>
              </w:rPr>
              <w:t>上饶市信州区水南街道丰溪路6</w:t>
            </w:r>
            <w:r>
              <w:rPr>
                <w:rFonts w:ascii="宋体" w:hAnsi="宋体"/>
                <w:kern w:val="0"/>
                <w:sz w:val="18"/>
                <w:szCs w:val="18"/>
              </w:rPr>
              <w:t>6</w:t>
            </w:r>
            <w:r>
              <w:rPr>
                <w:rFonts w:hint="eastAsia" w:ascii="宋体" w:hAnsi="宋体"/>
                <w:kern w:val="0"/>
                <w:sz w:val="18"/>
                <w:szCs w:val="18"/>
              </w:rPr>
              <w:t>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奥的斯机电</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sz w:val="16"/>
                <w:szCs w:val="16"/>
                <w:lang w:eastAsia="zh-CN"/>
              </w:rPr>
              <w:t>四层</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16"/>
                <w:szCs w:val="16"/>
                <w:lang w:eastAsia="zh-CN"/>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1.75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06/L6</w:t>
            </w:r>
          </w:p>
        </w:tc>
      </w:tr>
      <w:tr>
        <w:tblPrEx>
          <w:tblCellMar>
            <w:top w:w="0" w:type="dxa"/>
            <w:left w:w="108" w:type="dxa"/>
            <w:bottom w:w="0" w:type="dxa"/>
            <w:right w:w="108" w:type="dxa"/>
          </w:tblCellMar>
        </w:tblPrEx>
        <w:trPr>
          <w:trHeight w:val="285"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直梯</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上饶第二人民医院</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宋体" w:hAnsi="宋体" w:cs="微软雅黑"/>
                <w:color w:val="333333"/>
                <w:kern w:val="0"/>
                <w:sz w:val="18"/>
                <w:szCs w:val="18"/>
                <w:lang w:bidi="ar"/>
              </w:rPr>
              <w:t>江西省</w:t>
            </w:r>
            <w:r>
              <w:rPr>
                <w:rFonts w:hint="eastAsia" w:ascii="宋体" w:hAnsi="宋体"/>
                <w:kern w:val="0"/>
                <w:sz w:val="18"/>
                <w:szCs w:val="18"/>
              </w:rPr>
              <w:t>上饶市信州区水南街道丰溪路6</w:t>
            </w:r>
            <w:r>
              <w:rPr>
                <w:rFonts w:ascii="宋体" w:hAnsi="宋体"/>
                <w:kern w:val="0"/>
                <w:sz w:val="18"/>
                <w:szCs w:val="18"/>
              </w:rPr>
              <w:t>6</w:t>
            </w:r>
            <w:r>
              <w:rPr>
                <w:rFonts w:hint="eastAsia" w:ascii="宋体" w:hAnsi="宋体"/>
                <w:kern w:val="0"/>
                <w:sz w:val="18"/>
                <w:szCs w:val="18"/>
              </w:rPr>
              <w:t>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sz w:val="16"/>
                <w:szCs w:val="16"/>
              </w:rPr>
              <w:t>奥的斯机电</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sz w:val="16"/>
                <w:szCs w:val="16"/>
                <w:lang w:eastAsia="zh-CN"/>
              </w:rPr>
              <w:t>三层</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sz w:val="16"/>
                <w:szCs w:val="16"/>
                <w:lang w:eastAsia="zh-CN"/>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1.75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07/L7</w:t>
            </w:r>
          </w:p>
        </w:tc>
      </w:tr>
    </w:tbl>
    <w:p>
      <w:pPr>
        <w:rPr>
          <w:rFonts w:hint="eastAsia" w:ascii="宋体" w:hAnsi="宋体"/>
          <w:b/>
          <w:sz w:val="44"/>
          <w:szCs w:val="44"/>
        </w:r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61312" behindDoc="0" locked="0" layoutInCell="1" allowOverlap="1">
              <wp:simplePos x="0" y="0"/>
              <wp:positionH relativeFrom="page">
                <wp:align>right</wp:align>
              </wp:positionH>
              <wp:positionV relativeFrom="page">
                <wp:align>top</wp:align>
              </wp:positionV>
              <wp:extent cx="443865" cy="443865"/>
              <wp:effectExtent l="0" t="0" r="0" b="0"/>
              <wp:wrapNone/>
              <wp:docPr id="8" name="文本框 8"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61312;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w7+xrUAAAAAwEAAA8AAAAAAAAAAQAgAAAAIgAAAGRycy9k&#10;b3ducmV2LnhtbFBLAQIUABQAAAAIAIdO4kD2yFf4PwIAAGoEAAAOAAAAAAAAAAEAIAAAACMBAABk&#10;cnMvZTJvRG9jLnhtbFBLBQYAAAAABgAGAFkBAADUBQAAAAA=&#10;">
              <v:fill on="f" focussize="0,0"/>
              <v:stroke on="f"/>
              <v:imagedata o:title=""/>
              <o:lock v:ext="edit" aspectratio="f"/>
              <v:textbox inset="0mm,15pt,20pt,0mm" style="mso-fit-shape-to-text:t;">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60288" behindDoc="0" locked="0" layoutInCell="1" allowOverlap="1">
              <wp:simplePos x="0" y="0"/>
              <wp:positionH relativeFrom="page">
                <wp:align>right</wp:align>
              </wp:positionH>
              <wp:positionV relativeFrom="page">
                <wp:align>top</wp:align>
              </wp:positionV>
              <wp:extent cx="443865" cy="443865"/>
              <wp:effectExtent l="0" t="0" r="0" b="0"/>
              <wp:wrapNone/>
              <wp:docPr id="7" name="文本框 7"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60288;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8O/sa1AAAAAMBAAAPAAAAAAAAAAEAIAAAACIAAABkcnMv&#10;ZG93bnJldi54bWxQSwECFAAUAAAACACHTuJANYL/VEACAABqBAAADgAAAAAAAAABACAAAAAjAQAA&#10;ZHJzL2Uyb0RvYy54bWxQSwUGAAAAAAYABgBZAQAA1QUAAAAA&#10;">
              <v:fill on="f" focussize="0,0"/>
              <v:stroke on="f"/>
              <v:imagedata o:title=""/>
              <o:lock v:ext="edit" aspectratio="f"/>
              <v:textbox inset="0mm,15pt,20pt,0mm" style="mso-fit-shape-to-text:t;">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2D5DA"/>
    <w:multiLevelType w:val="singleLevel"/>
    <w:tmpl w:val="22B2D5DA"/>
    <w:lvl w:ilvl="0" w:tentative="0">
      <w:start w:val="7"/>
      <w:numFmt w:val="upperLetter"/>
      <w:lvlText w:val="%1."/>
      <w:lvlJc w:val="left"/>
      <w:pPr>
        <w:tabs>
          <w:tab w:val="left" w:pos="312"/>
        </w:tabs>
      </w:pPr>
    </w:lvl>
  </w:abstractNum>
  <w:abstractNum w:abstractNumId="1">
    <w:nsid w:val="73F01F7E"/>
    <w:multiLevelType w:val="multilevel"/>
    <w:tmpl w:val="73F01F7E"/>
    <w:lvl w:ilvl="0" w:tentative="0">
      <w:start w:val="1"/>
      <w:numFmt w:val="decimal"/>
      <w:lvlText w:val="%1、"/>
      <w:lvlJc w:val="left"/>
      <w:pPr>
        <w:ind w:left="390" w:hanging="390"/>
      </w:pPr>
      <w:rPr>
        <w:rFonts w:hint="default"/>
      </w:rPr>
    </w:lvl>
    <w:lvl w:ilvl="1" w:tentative="0">
      <w:start w:val="1"/>
      <w:numFmt w:val="decimal"/>
      <w:lvlText w:val="%1.%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YjU3ZGZkMmM5ZGY5OTJiMzQ2NDE3OWE4YjZmNGQifQ=="/>
  </w:docVars>
  <w:rsids>
    <w:rsidRoot w:val="5C1034CE"/>
    <w:rsid w:val="03BB642D"/>
    <w:rsid w:val="3DBC024A"/>
    <w:rsid w:val="3EF14050"/>
    <w:rsid w:val="46E456FC"/>
    <w:rsid w:val="5C1034CE"/>
    <w:rsid w:val="6AB10639"/>
    <w:rsid w:val="6AB4101F"/>
    <w:rsid w:val="6E4B5383"/>
    <w:rsid w:val="7300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0"/>
    </w:rPr>
  </w:style>
  <w:style w:type="paragraph" w:styleId="4">
    <w:name w:val="heading 2"/>
    <w:basedOn w:val="1"/>
    <w:next w:val="1"/>
    <w:link w:val="17"/>
    <w:semiHidden/>
    <w:unhideWhenUsed/>
    <w:qFormat/>
    <w:uiPriority w:val="0"/>
    <w:pPr>
      <w:keepNext/>
      <w:keepLines/>
      <w:spacing w:line="416" w:lineRule="auto"/>
      <w:jc w:val="center"/>
      <w:outlineLvl w:val="1"/>
    </w:pPr>
    <w:rPr>
      <w:rFonts w:ascii="Arial" w:hAnsi="Arial" w:eastAsia="宋体" w:cs="Times New Roman"/>
      <w:b/>
      <w:bCs/>
      <w:sz w:val="30"/>
      <w:szCs w:val="32"/>
    </w:rPr>
  </w:style>
  <w:style w:type="paragraph" w:styleId="5">
    <w:name w:val="heading 3"/>
    <w:basedOn w:val="1"/>
    <w:next w:val="1"/>
    <w:link w:val="19"/>
    <w:semiHidden/>
    <w:unhideWhenUsed/>
    <w:qFormat/>
    <w:uiPriority w:val="0"/>
    <w:pPr>
      <w:keepNext/>
      <w:keepLines/>
      <w:spacing w:before="20" w:after="20" w:line="416" w:lineRule="auto"/>
      <w:jc w:val="center"/>
      <w:outlineLvl w:val="2"/>
    </w:pPr>
    <w:rPr>
      <w:rFonts w:ascii="Calibri" w:hAnsi="Calibri" w:eastAsia="宋体" w:cs="Times New Roman"/>
      <w:b/>
      <w:bCs/>
      <w:sz w:val="30"/>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szCs w:val="20"/>
    </w:rPr>
  </w:style>
  <w:style w:type="paragraph" w:styleId="6">
    <w:name w:val="Body Text"/>
    <w:basedOn w:val="1"/>
    <w:qFormat/>
    <w:uiPriority w:val="0"/>
    <w:rPr>
      <w:rFonts w:ascii="仿宋_GB2312" w:eastAsia="仿宋_GB2312"/>
      <w:sz w:val="28"/>
    </w:rPr>
  </w:style>
  <w:style w:type="paragraph" w:styleId="7">
    <w:name w:val="toc 3"/>
    <w:basedOn w:val="1"/>
    <w:next w:val="1"/>
    <w:uiPriority w:val="0"/>
    <w:pPr>
      <w:tabs>
        <w:tab w:val="right" w:leader="dot" w:pos="8296"/>
      </w:tabs>
      <w:ind w:left="840" w:leftChars="400"/>
    </w:pPr>
    <w:rPr>
      <w:rFonts w:ascii="Calibri" w:hAnsi="Calibri" w:eastAsia="宋体" w:cs="Times New Roman"/>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link w:val="16"/>
    <w:uiPriority w:val="0"/>
    <w:rPr>
      <w:rFonts w:ascii="Calibri" w:hAnsi="Calibri" w:eastAsia="宋体" w:cs="Times New Roman"/>
      <w:b/>
      <w:sz w:val="30"/>
    </w:rPr>
  </w:style>
  <w:style w:type="paragraph" w:styleId="11">
    <w:name w:val="toc 4"/>
    <w:basedOn w:val="1"/>
    <w:next w:val="1"/>
    <w:uiPriority w:val="0"/>
    <w:pPr>
      <w:ind w:left="0" w:leftChars="0"/>
      <w:jc w:val="center"/>
    </w:pPr>
    <w:rPr>
      <w:rFonts w:ascii="Calibri" w:hAnsi="Calibri" w:eastAsia="黑体" w:cs="Times New Roman"/>
      <w:b/>
      <w:sz w:val="30"/>
    </w:rPr>
  </w:style>
  <w:style w:type="paragraph" w:styleId="12">
    <w:name w:val="toc 2"/>
    <w:basedOn w:val="1"/>
    <w:next w:val="1"/>
    <w:uiPriority w:val="0"/>
    <w:pPr>
      <w:ind w:left="420" w:leftChars="200"/>
    </w:pPr>
    <w:rPr>
      <w:rFonts w:ascii="Calibri" w:hAnsi="Calibri" w:eastAsia="宋体" w:cs="Times New Roman"/>
      <w:b/>
    </w:rPr>
  </w:style>
  <w:style w:type="paragraph" w:styleId="13">
    <w:name w:val="Normal (Web)"/>
    <w:basedOn w:val="1"/>
    <w:qFormat/>
    <w:uiPriority w:val="99"/>
    <w:pPr>
      <w:widowControl/>
      <w:jc w:val="left"/>
    </w:pPr>
    <w:rPr>
      <w:rFonts w:ascii="宋体" w:hAnsi="宋体" w:cs="宋体"/>
      <w:kern w:val="0"/>
      <w:sz w:val="18"/>
      <w:szCs w:val="18"/>
    </w:rPr>
  </w:style>
  <w:style w:type="character" w:customStyle="1" w:styleId="16">
    <w:name w:val="目录 1 Char"/>
    <w:link w:val="10"/>
    <w:uiPriority w:val="0"/>
    <w:rPr>
      <w:rFonts w:ascii="Calibri" w:hAnsi="Calibri" w:eastAsia="宋体" w:cs="Times New Roman"/>
      <w:b/>
      <w:sz w:val="30"/>
    </w:rPr>
  </w:style>
  <w:style w:type="character" w:customStyle="1" w:styleId="17">
    <w:name w:val="标题 2 Char"/>
    <w:link w:val="4"/>
    <w:uiPriority w:val="0"/>
    <w:rPr>
      <w:rFonts w:ascii="Arial" w:hAnsi="Arial" w:eastAsia="宋体" w:cs="Times New Roman"/>
      <w:b/>
      <w:bCs/>
      <w:sz w:val="30"/>
      <w:szCs w:val="32"/>
    </w:rPr>
  </w:style>
  <w:style w:type="character" w:customStyle="1" w:styleId="18">
    <w:name w:val="标题 1 Char"/>
    <w:link w:val="3"/>
    <w:uiPriority w:val="0"/>
    <w:rPr>
      <w:rFonts w:ascii="Calibri" w:hAnsi="Calibri" w:eastAsia="宋体" w:cs="Times New Roman"/>
      <w:b/>
      <w:kern w:val="44"/>
      <w:sz w:val="30"/>
    </w:rPr>
  </w:style>
  <w:style w:type="character" w:customStyle="1" w:styleId="19">
    <w:name w:val="标题 3 Char"/>
    <w:link w:val="5"/>
    <w:uiPriority w:val="0"/>
    <w:rPr>
      <w:rFonts w:ascii="Calibri" w:hAnsi="Calibri" w:eastAsia="宋体" w:cs="Times New Roman"/>
      <w:b/>
      <w:bCs/>
      <w:sz w:val="3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2024-04-15T08:57:00Z</dcterms:created>
  <dc:creator>yuxiYe</dc:creator>
  <cp:lastModifiedBy>yuxiYe</cp:lastModifiedBy>
  <dcterms:modified xsi:type="dcterms:W3CDTF">2024-04-15T08:58:13Z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B645E87CAC35464886635BEBD0D05629_11</vt:lpwstr>
  </property>
</Properties>
</file>